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A8D80" w14:textId="77777777" w:rsidR="00293336" w:rsidRPr="00061301" w:rsidRDefault="00293336" w:rsidP="00293336">
      <w:pPr>
        <w:jc w:val="center"/>
        <w:rPr>
          <w:rFonts w:ascii="Verdana" w:hAnsi="Verdana"/>
          <w:b/>
          <w:sz w:val="28"/>
          <w:szCs w:val="24"/>
        </w:rPr>
      </w:pPr>
      <w:r>
        <w:rPr>
          <w:rFonts w:ascii="Verdana" w:hAnsi="Verdana"/>
          <w:b/>
          <w:sz w:val="28"/>
          <w:szCs w:val="24"/>
        </w:rPr>
        <w:t>Data</w:t>
      </w:r>
      <w:r w:rsidRPr="00061301">
        <w:rPr>
          <w:rFonts w:ascii="Verdana" w:hAnsi="Verdana"/>
          <w:b/>
          <w:sz w:val="28"/>
          <w:szCs w:val="24"/>
        </w:rPr>
        <w:t xml:space="preserve"> Committee – CoC Workgroup Minutes</w:t>
      </w:r>
    </w:p>
    <w:p w14:paraId="18C33042" w14:textId="3329BFE1" w:rsidR="00293336" w:rsidRPr="00A118B7" w:rsidRDefault="00293336" w:rsidP="00293336">
      <w:pPr>
        <w:jc w:val="center"/>
        <w:rPr>
          <w:rFonts w:ascii="Verdana" w:hAnsi="Verdana"/>
          <w:sz w:val="24"/>
          <w:szCs w:val="24"/>
        </w:rPr>
      </w:pPr>
      <w:r>
        <w:rPr>
          <w:rFonts w:ascii="Verdana" w:hAnsi="Verdana"/>
          <w:sz w:val="24"/>
          <w:szCs w:val="24"/>
        </w:rPr>
        <w:t>May 3</w:t>
      </w:r>
      <w:r w:rsidRPr="00293336">
        <w:rPr>
          <w:rFonts w:ascii="Verdana" w:hAnsi="Verdana"/>
          <w:sz w:val="24"/>
          <w:szCs w:val="24"/>
          <w:vertAlign w:val="superscript"/>
        </w:rPr>
        <w:t>rd</w:t>
      </w:r>
      <w:r>
        <w:rPr>
          <w:rFonts w:ascii="Verdana" w:hAnsi="Verdana"/>
          <w:sz w:val="24"/>
          <w:szCs w:val="24"/>
        </w:rPr>
        <w:t>, 2016</w:t>
      </w:r>
      <w:r>
        <w:rPr>
          <w:rFonts w:ascii="Verdana" w:hAnsi="Verdana"/>
          <w:sz w:val="24"/>
          <w:szCs w:val="24"/>
        </w:rPr>
        <w:t>, 10am</w:t>
      </w:r>
      <w:r w:rsidRPr="00A118B7">
        <w:rPr>
          <w:rFonts w:ascii="Verdana" w:hAnsi="Verdana"/>
          <w:sz w:val="24"/>
          <w:szCs w:val="24"/>
        </w:rPr>
        <w:t xml:space="preserve"> CST</w:t>
      </w:r>
    </w:p>
    <w:p w14:paraId="131F15C4" w14:textId="77777777" w:rsidR="00293336" w:rsidRPr="00A118B7" w:rsidRDefault="00293336" w:rsidP="00293336">
      <w:pPr>
        <w:jc w:val="center"/>
        <w:rPr>
          <w:rFonts w:ascii="Verdana" w:hAnsi="Verdana"/>
          <w:sz w:val="24"/>
          <w:szCs w:val="24"/>
        </w:rPr>
      </w:pPr>
      <w:r w:rsidRPr="00A118B7">
        <w:rPr>
          <w:rFonts w:ascii="Verdana" w:hAnsi="Verdana"/>
          <w:sz w:val="24"/>
          <w:szCs w:val="24"/>
        </w:rPr>
        <w:t>GoToMeeting</w:t>
      </w:r>
    </w:p>
    <w:p w14:paraId="63AE1FD1" w14:textId="77777777" w:rsidR="00293336" w:rsidRDefault="00293336" w:rsidP="00293336">
      <w:pPr>
        <w:pStyle w:val="ListParagraph"/>
        <w:numPr>
          <w:ilvl w:val="0"/>
          <w:numId w:val="2"/>
        </w:numPr>
        <w:rPr>
          <w:rFonts w:ascii="Verdana" w:hAnsi="Verdana"/>
        </w:rPr>
      </w:pPr>
      <w:r w:rsidRPr="00E45BFE">
        <w:rPr>
          <w:rFonts w:ascii="Verdana" w:hAnsi="Verdana"/>
          <w:b/>
        </w:rPr>
        <w:t>Members Present</w:t>
      </w:r>
      <w:r w:rsidRPr="00E45BFE">
        <w:rPr>
          <w:rFonts w:ascii="Verdana" w:hAnsi="Verdana"/>
        </w:rPr>
        <w:t xml:space="preserve">:  </w:t>
      </w:r>
    </w:p>
    <w:p w14:paraId="05F40058" w14:textId="3D477149" w:rsidR="00293336" w:rsidRPr="00293336" w:rsidRDefault="00042A2A" w:rsidP="00293336">
      <w:pPr>
        <w:rPr>
          <w:rFonts w:ascii="Verdana" w:hAnsi="Verdana"/>
        </w:rPr>
      </w:pPr>
      <w:r w:rsidRPr="00042A2A">
        <w:rPr>
          <w:rFonts w:ascii="Verdana" w:hAnsi="Verdana"/>
        </w:rPr>
        <w:t xml:space="preserve">Letty Castillo, Meredith McCoy, </w:t>
      </w:r>
      <w:r>
        <w:rPr>
          <w:rFonts w:ascii="Verdana" w:hAnsi="Verdana"/>
        </w:rPr>
        <w:t xml:space="preserve">Jeremy Schmidt, </w:t>
      </w:r>
      <w:r w:rsidRPr="00042A2A">
        <w:rPr>
          <w:rFonts w:ascii="Verdana" w:hAnsi="Verdana"/>
        </w:rPr>
        <w:t xml:space="preserve">Lisa Haen, Erin Evosovich, </w:t>
      </w:r>
      <w:r>
        <w:rPr>
          <w:rFonts w:ascii="Verdana" w:hAnsi="Verdana"/>
        </w:rPr>
        <w:t xml:space="preserve">Jolene Bublitz, Beryl Tofte, </w:t>
      </w:r>
      <w:r w:rsidRPr="00042A2A">
        <w:rPr>
          <w:rFonts w:ascii="Verdana" w:hAnsi="Verdana"/>
        </w:rPr>
        <w:t xml:space="preserve">Erika Trawitzki, </w:t>
      </w:r>
      <w:r>
        <w:rPr>
          <w:rFonts w:ascii="Verdana" w:hAnsi="Verdana"/>
        </w:rPr>
        <w:t xml:space="preserve">Johneisha Prescott, </w:t>
      </w:r>
      <w:r w:rsidRPr="00042A2A">
        <w:rPr>
          <w:rFonts w:ascii="Verdana" w:hAnsi="Verdana"/>
        </w:rPr>
        <w:t xml:space="preserve">Kris Anderson, </w:t>
      </w:r>
      <w:r>
        <w:rPr>
          <w:rFonts w:ascii="Verdana" w:hAnsi="Verdana"/>
        </w:rPr>
        <w:t xml:space="preserve">Sandra Reeves, Jennifer Henry, </w:t>
      </w:r>
      <w:r w:rsidRPr="00042A2A">
        <w:rPr>
          <w:rFonts w:ascii="Verdana" w:hAnsi="Verdana"/>
        </w:rPr>
        <w:t>Jesse Dirkman</w:t>
      </w:r>
    </w:p>
    <w:p w14:paraId="2A076E04" w14:textId="7A14682A" w:rsidR="00293336" w:rsidRDefault="00293336" w:rsidP="00293336">
      <w:pPr>
        <w:pStyle w:val="ListParagraph"/>
        <w:numPr>
          <w:ilvl w:val="0"/>
          <w:numId w:val="2"/>
        </w:numPr>
        <w:rPr>
          <w:rFonts w:ascii="Verdana" w:hAnsi="Verdana"/>
        </w:rPr>
      </w:pPr>
      <w:r>
        <w:rPr>
          <w:rFonts w:ascii="Verdana" w:hAnsi="Verdana"/>
          <w:b/>
        </w:rPr>
        <w:t>What brings you to this committee</w:t>
      </w:r>
      <w:r w:rsidRPr="00293336">
        <w:rPr>
          <w:rFonts w:ascii="Verdana" w:hAnsi="Verdana"/>
        </w:rPr>
        <w:t>?</w:t>
      </w:r>
    </w:p>
    <w:p w14:paraId="1351F282" w14:textId="189BFDF2" w:rsidR="00293336" w:rsidRDefault="00042A2A" w:rsidP="00293336">
      <w:pPr>
        <w:pStyle w:val="ListParagraph"/>
        <w:rPr>
          <w:rFonts w:ascii="Verdana" w:hAnsi="Verdana"/>
        </w:rPr>
      </w:pPr>
      <w:r>
        <w:rPr>
          <w:rFonts w:ascii="Verdana" w:hAnsi="Verdana"/>
        </w:rPr>
        <w:t>Some member responses to this question included:</w:t>
      </w:r>
    </w:p>
    <w:p w14:paraId="208BBEEE" w14:textId="77777777" w:rsidR="00042A2A" w:rsidRPr="00293336" w:rsidRDefault="00042A2A" w:rsidP="00293336">
      <w:pPr>
        <w:pStyle w:val="ListParagraph"/>
        <w:rPr>
          <w:rFonts w:ascii="Verdana" w:hAnsi="Verdana"/>
        </w:rPr>
      </w:pPr>
    </w:p>
    <w:p w14:paraId="689410B6" w14:textId="43016695" w:rsidR="00293336" w:rsidRDefault="00042A2A" w:rsidP="00042A2A">
      <w:pPr>
        <w:pStyle w:val="ListParagraph"/>
        <w:numPr>
          <w:ilvl w:val="0"/>
          <w:numId w:val="4"/>
        </w:numPr>
        <w:rPr>
          <w:rFonts w:ascii="Verdana" w:hAnsi="Verdana"/>
        </w:rPr>
      </w:pPr>
      <w:r>
        <w:rPr>
          <w:rFonts w:ascii="Verdana" w:hAnsi="Verdana"/>
        </w:rPr>
        <w:t>My supervisor asked me to be here</w:t>
      </w:r>
    </w:p>
    <w:p w14:paraId="2934CA52" w14:textId="1B9FC067" w:rsidR="00042A2A" w:rsidRDefault="00042A2A" w:rsidP="00042A2A">
      <w:pPr>
        <w:pStyle w:val="ListParagraph"/>
        <w:numPr>
          <w:ilvl w:val="0"/>
          <w:numId w:val="4"/>
        </w:numPr>
        <w:rPr>
          <w:rFonts w:ascii="Verdana" w:hAnsi="Verdana"/>
        </w:rPr>
      </w:pPr>
      <w:r>
        <w:rPr>
          <w:rFonts w:ascii="Verdana" w:hAnsi="Verdana"/>
        </w:rPr>
        <w:t>Data helps me see where we are and find missing items for correction</w:t>
      </w:r>
    </w:p>
    <w:p w14:paraId="3544633C" w14:textId="08350CD2" w:rsidR="00042A2A" w:rsidRDefault="00042A2A" w:rsidP="00042A2A">
      <w:pPr>
        <w:pStyle w:val="ListParagraph"/>
        <w:numPr>
          <w:ilvl w:val="0"/>
          <w:numId w:val="4"/>
        </w:numPr>
        <w:rPr>
          <w:rFonts w:ascii="Verdana" w:hAnsi="Verdana"/>
        </w:rPr>
      </w:pPr>
      <w:r>
        <w:rPr>
          <w:rFonts w:ascii="Verdana" w:hAnsi="Verdana"/>
        </w:rPr>
        <w:t>Data helps us make decisions about our programming and expansion</w:t>
      </w:r>
    </w:p>
    <w:p w14:paraId="3AE898A7" w14:textId="1AB23E01" w:rsidR="00042A2A" w:rsidRDefault="00042A2A" w:rsidP="00042A2A">
      <w:pPr>
        <w:pStyle w:val="ListParagraph"/>
        <w:numPr>
          <w:ilvl w:val="0"/>
          <w:numId w:val="4"/>
        </w:numPr>
        <w:rPr>
          <w:rFonts w:ascii="Verdana" w:hAnsi="Verdana"/>
        </w:rPr>
      </w:pPr>
      <w:r>
        <w:rPr>
          <w:rFonts w:ascii="Verdana" w:hAnsi="Verdana"/>
        </w:rPr>
        <w:t>We can find out about client history and keep track of their current situation with data</w:t>
      </w:r>
    </w:p>
    <w:p w14:paraId="76399912" w14:textId="171ED872" w:rsidR="00042A2A" w:rsidRDefault="00042A2A" w:rsidP="00042A2A">
      <w:pPr>
        <w:pStyle w:val="ListParagraph"/>
        <w:numPr>
          <w:ilvl w:val="0"/>
          <w:numId w:val="4"/>
        </w:numPr>
        <w:rPr>
          <w:rFonts w:ascii="Verdana" w:hAnsi="Verdana"/>
        </w:rPr>
      </w:pPr>
      <w:r>
        <w:rPr>
          <w:rFonts w:ascii="Verdana" w:hAnsi="Verdana"/>
        </w:rPr>
        <w:t>I’m required to be here for our grant</w:t>
      </w:r>
      <w:bookmarkStart w:id="0" w:name="_GoBack"/>
      <w:bookmarkEnd w:id="0"/>
    </w:p>
    <w:p w14:paraId="44EEC596" w14:textId="7882386A" w:rsidR="00042A2A" w:rsidRDefault="00042A2A" w:rsidP="00042A2A">
      <w:pPr>
        <w:pStyle w:val="ListParagraph"/>
        <w:numPr>
          <w:ilvl w:val="0"/>
          <w:numId w:val="4"/>
        </w:numPr>
        <w:rPr>
          <w:rFonts w:ascii="Verdana" w:hAnsi="Verdana"/>
        </w:rPr>
      </w:pPr>
      <w:r>
        <w:rPr>
          <w:rFonts w:ascii="Verdana" w:hAnsi="Verdana"/>
        </w:rPr>
        <w:t>Data is important for our projects</w:t>
      </w:r>
    </w:p>
    <w:p w14:paraId="156255CC" w14:textId="311B51A8" w:rsidR="00042A2A" w:rsidRDefault="00713763" w:rsidP="00042A2A">
      <w:pPr>
        <w:pStyle w:val="ListParagraph"/>
        <w:numPr>
          <w:ilvl w:val="0"/>
          <w:numId w:val="4"/>
        </w:numPr>
        <w:rPr>
          <w:rFonts w:ascii="Verdana" w:hAnsi="Verdana"/>
        </w:rPr>
      </w:pPr>
      <w:r>
        <w:rPr>
          <w:rFonts w:ascii="Verdana" w:hAnsi="Verdana"/>
        </w:rPr>
        <w:t>Running reports drew my interest</w:t>
      </w:r>
    </w:p>
    <w:p w14:paraId="2136099B" w14:textId="0018656A" w:rsidR="00713763" w:rsidRDefault="00713763" w:rsidP="00042A2A">
      <w:pPr>
        <w:pStyle w:val="ListParagraph"/>
        <w:numPr>
          <w:ilvl w:val="0"/>
          <w:numId w:val="4"/>
        </w:numPr>
        <w:rPr>
          <w:rFonts w:ascii="Verdana" w:hAnsi="Verdana"/>
        </w:rPr>
      </w:pPr>
      <w:r>
        <w:rPr>
          <w:rFonts w:ascii="Verdana" w:hAnsi="Verdana"/>
        </w:rPr>
        <w:t>I want clean data</w:t>
      </w:r>
    </w:p>
    <w:p w14:paraId="2C2882F5" w14:textId="77777777" w:rsidR="00042A2A" w:rsidRPr="00042A2A" w:rsidRDefault="00042A2A" w:rsidP="00042A2A">
      <w:pPr>
        <w:pStyle w:val="ListParagraph"/>
        <w:rPr>
          <w:rFonts w:ascii="Verdana" w:hAnsi="Verdana"/>
        </w:rPr>
      </w:pPr>
    </w:p>
    <w:p w14:paraId="7BED15DB" w14:textId="2F2351F0" w:rsidR="00293336" w:rsidRDefault="00293336" w:rsidP="00293336">
      <w:pPr>
        <w:pStyle w:val="ListParagraph"/>
        <w:numPr>
          <w:ilvl w:val="0"/>
          <w:numId w:val="2"/>
        </w:numPr>
        <w:rPr>
          <w:rFonts w:ascii="Verdana" w:hAnsi="Verdana"/>
        </w:rPr>
      </w:pPr>
      <w:r>
        <w:rPr>
          <w:rFonts w:ascii="Verdana" w:hAnsi="Verdana"/>
          <w:b/>
        </w:rPr>
        <w:t>What does this committee do</w:t>
      </w:r>
      <w:r w:rsidRPr="00293336">
        <w:rPr>
          <w:rFonts w:ascii="Verdana" w:hAnsi="Verdana"/>
        </w:rPr>
        <w:t>?</w:t>
      </w:r>
    </w:p>
    <w:p w14:paraId="4636A869" w14:textId="77777777" w:rsidR="00293336" w:rsidRDefault="00293336" w:rsidP="00293336">
      <w:pPr>
        <w:pStyle w:val="ListParagraph"/>
        <w:rPr>
          <w:rFonts w:ascii="Verdana" w:hAnsi="Verdana"/>
        </w:rPr>
      </w:pPr>
    </w:p>
    <w:p w14:paraId="7EC71B9A" w14:textId="3AD6519C" w:rsidR="00293336" w:rsidRPr="00293336" w:rsidRDefault="00293336" w:rsidP="00293336">
      <w:pPr>
        <w:pStyle w:val="ListParagraph"/>
        <w:numPr>
          <w:ilvl w:val="0"/>
          <w:numId w:val="3"/>
        </w:numPr>
        <w:rPr>
          <w:rFonts w:ascii="Verdana" w:hAnsi="Verdana"/>
        </w:rPr>
      </w:pPr>
      <w:r w:rsidRPr="00293336">
        <w:rPr>
          <w:rFonts w:ascii="Verdana" w:hAnsi="Verdana"/>
        </w:rPr>
        <w:t>We conduct quarterly APR reviews and refer underperforming projects to the PEA committee</w:t>
      </w:r>
    </w:p>
    <w:p w14:paraId="029575D6" w14:textId="2F7FFD3A" w:rsidR="00293336" w:rsidRPr="00293336" w:rsidRDefault="00293336" w:rsidP="00293336">
      <w:pPr>
        <w:pStyle w:val="ListParagraph"/>
        <w:numPr>
          <w:ilvl w:val="0"/>
          <w:numId w:val="3"/>
        </w:numPr>
        <w:rPr>
          <w:rFonts w:ascii="Verdana" w:hAnsi="Verdana"/>
        </w:rPr>
      </w:pPr>
      <w:r w:rsidRPr="00293336">
        <w:rPr>
          <w:rFonts w:ascii="Verdana" w:hAnsi="Verdana"/>
        </w:rPr>
        <w:t>We explore the system performance measures and discuss how to improve system performance in the Wisconsin Balance of State CoC</w:t>
      </w:r>
    </w:p>
    <w:p w14:paraId="4B05905C" w14:textId="7229BCA3" w:rsidR="00293336" w:rsidRDefault="00293336" w:rsidP="00293336">
      <w:pPr>
        <w:pStyle w:val="ListParagraph"/>
        <w:numPr>
          <w:ilvl w:val="0"/>
          <w:numId w:val="3"/>
        </w:numPr>
        <w:rPr>
          <w:rFonts w:ascii="Verdana" w:hAnsi="Verdana"/>
        </w:rPr>
      </w:pPr>
      <w:r w:rsidRPr="00293336">
        <w:rPr>
          <w:rFonts w:ascii="Verdana" w:hAnsi="Verdana"/>
        </w:rPr>
        <w:t xml:space="preserve">New topic – Jesse asked if the group would be interested in exploring their own projects and CoC data. </w:t>
      </w:r>
      <w:r>
        <w:rPr>
          <w:rFonts w:ascii="Verdana" w:hAnsi="Verdana"/>
        </w:rPr>
        <w:t>The group suggested that w</w:t>
      </w:r>
      <w:r w:rsidRPr="00293336">
        <w:rPr>
          <w:rFonts w:ascii="Verdana" w:hAnsi="Verdana"/>
        </w:rPr>
        <w:t>e can compare CoCs</w:t>
      </w:r>
      <w:r>
        <w:rPr>
          <w:rFonts w:ascii="Verdana" w:hAnsi="Verdana"/>
        </w:rPr>
        <w:t xml:space="preserve"> and </w:t>
      </w:r>
      <w:r w:rsidRPr="00293336">
        <w:rPr>
          <w:rFonts w:ascii="Verdana" w:hAnsi="Verdana"/>
        </w:rPr>
        <w:t xml:space="preserve">look for successful practices/programs/outreach activities that work in one county that may work in another – even customizing them to get similar success rates. </w:t>
      </w:r>
    </w:p>
    <w:p w14:paraId="39E78CE7" w14:textId="77777777" w:rsidR="00293336" w:rsidRPr="00293336" w:rsidRDefault="00293336" w:rsidP="00293336">
      <w:pPr>
        <w:pStyle w:val="ListParagraph"/>
        <w:rPr>
          <w:rFonts w:ascii="Verdana" w:hAnsi="Verdana"/>
        </w:rPr>
      </w:pPr>
    </w:p>
    <w:p w14:paraId="790B25D2" w14:textId="73D4D0C2" w:rsidR="00293336" w:rsidRPr="00293336" w:rsidRDefault="00293336" w:rsidP="00293336">
      <w:pPr>
        <w:pStyle w:val="ListParagraph"/>
        <w:numPr>
          <w:ilvl w:val="0"/>
          <w:numId w:val="2"/>
        </w:numPr>
        <w:rPr>
          <w:rFonts w:ascii="Verdana" w:hAnsi="Verdana"/>
        </w:rPr>
      </w:pPr>
      <w:r>
        <w:rPr>
          <w:rFonts w:ascii="Verdana" w:hAnsi="Verdana"/>
          <w:b/>
        </w:rPr>
        <w:t>Quarterly APR Reviews</w:t>
      </w:r>
    </w:p>
    <w:p w14:paraId="377ACDF2" w14:textId="3D70594F" w:rsidR="00293336" w:rsidRDefault="00293336" w:rsidP="00293336">
      <w:pPr>
        <w:rPr>
          <w:rFonts w:ascii="Verdana" w:hAnsi="Verdana"/>
        </w:rPr>
      </w:pPr>
      <w:r>
        <w:rPr>
          <w:rFonts w:ascii="Verdana" w:hAnsi="Verdana"/>
        </w:rPr>
        <w:t>We received all of the reports, and Jesse will send out assignments later this week. Reviews will be due on May 20</w:t>
      </w:r>
      <w:r w:rsidRPr="00293336">
        <w:rPr>
          <w:rFonts w:ascii="Verdana" w:hAnsi="Verdana"/>
          <w:vertAlign w:val="superscript"/>
        </w:rPr>
        <w:t>th</w:t>
      </w:r>
      <w:r>
        <w:rPr>
          <w:rFonts w:ascii="Verdana" w:hAnsi="Verdana"/>
        </w:rPr>
        <w:t xml:space="preserve">. We added an annual assessment </w:t>
      </w:r>
      <w:r w:rsidR="00042A2A">
        <w:rPr>
          <w:rFonts w:ascii="Verdana" w:hAnsi="Verdana"/>
        </w:rPr>
        <w:t>requirement – 73% of clients who needed annual assessments had complete annual assessments.</w:t>
      </w:r>
    </w:p>
    <w:p w14:paraId="1A1F0C5C" w14:textId="54395FD1" w:rsidR="00042A2A" w:rsidRPr="00293336" w:rsidRDefault="00042A2A" w:rsidP="00293336">
      <w:pPr>
        <w:rPr>
          <w:rFonts w:ascii="Verdana" w:hAnsi="Verdana"/>
        </w:rPr>
      </w:pPr>
      <w:r>
        <w:rPr>
          <w:rFonts w:ascii="Verdana" w:hAnsi="Verdana"/>
        </w:rPr>
        <w:t>The committee has decided to skip our referrals to the PEA committee this year. Instead, we will make sure something happens with last year’s referrals (income issues), train on the new APR, and institute the self-review process.</w:t>
      </w:r>
    </w:p>
    <w:p w14:paraId="3BB6EDFD" w14:textId="762D7144" w:rsidR="00293336" w:rsidRPr="00293336" w:rsidRDefault="00293336" w:rsidP="00293336">
      <w:pPr>
        <w:pStyle w:val="ListParagraph"/>
        <w:numPr>
          <w:ilvl w:val="0"/>
          <w:numId w:val="2"/>
        </w:numPr>
        <w:rPr>
          <w:rFonts w:ascii="Verdana" w:hAnsi="Verdana"/>
        </w:rPr>
      </w:pPr>
      <w:r>
        <w:rPr>
          <w:rFonts w:ascii="Verdana" w:hAnsi="Verdana"/>
          <w:b/>
        </w:rPr>
        <w:t>System Performance Measures</w:t>
      </w:r>
    </w:p>
    <w:p w14:paraId="42A5DE9C" w14:textId="7F58B9B3" w:rsidR="00293336" w:rsidRPr="00293336" w:rsidRDefault="00042A2A" w:rsidP="00293336">
      <w:pPr>
        <w:rPr>
          <w:rFonts w:ascii="Verdana" w:hAnsi="Verdana"/>
        </w:rPr>
      </w:pPr>
      <w:r>
        <w:rPr>
          <w:rFonts w:ascii="Verdana" w:hAnsi="Verdana"/>
        </w:rPr>
        <w:lastRenderedPageBreak/>
        <w:t>If you haven’t already, watch the system performance measures videos! (</w:t>
      </w:r>
      <w:hyperlink r:id="rId5" w:history="1">
        <w:r w:rsidRPr="00042A2A">
          <w:rPr>
            <w:rStyle w:val="Hyperlink"/>
            <w:rFonts w:ascii="Verdana" w:hAnsi="Verdana"/>
          </w:rPr>
          <w:t>Link</w:t>
        </w:r>
      </w:hyperlink>
      <w:r>
        <w:rPr>
          <w:rFonts w:ascii="Verdana" w:hAnsi="Verdana"/>
        </w:rPr>
        <w:t>)</w:t>
      </w:r>
    </w:p>
    <w:p w14:paraId="4659981D" w14:textId="485F2AA6" w:rsidR="00293336" w:rsidRPr="00042A2A" w:rsidRDefault="00293336" w:rsidP="00293336">
      <w:pPr>
        <w:pStyle w:val="ListParagraph"/>
        <w:numPr>
          <w:ilvl w:val="0"/>
          <w:numId w:val="2"/>
        </w:numPr>
        <w:rPr>
          <w:rFonts w:ascii="Verdana" w:hAnsi="Verdana"/>
        </w:rPr>
      </w:pPr>
      <w:r>
        <w:rPr>
          <w:rFonts w:ascii="Verdana" w:hAnsi="Verdana"/>
          <w:b/>
        </w:rPr>
        <w:t>Housing Pledge</w:t>
      </w:r>
    </w:p>
    <w:p w14:paraId="214977A4" w14:textId="0270ABD8" w:rsidR="00042A2A" w:rsidRDefault="00042A2A" w:rsidP="00042A2A">
      <w:pPr>
        <w:rPr>
          <w:rFonts w:ascii="Verdana" w:hAnsi="Verdana"/>
        </w:rPr>
      </w:pPr>
      <w:r>
        <w:rPr>
          <w:rFonts w:ascii="Verdana" w:hAnsi="Verdana"/>
        </w:rPr>
        <w:t>All regions but Northwest have committed.  Group decided to present the Tableau dashboard that Jesse worked on to the group at the BOS meeting to track progress to our goals. We’ll work with Carrie to get the data.  Group decided to keep the BOS pledge of 147 clients, even though it is lower than the total for all local CoCs.</w:t>
      </w:r>
    </w:p>
    <w:p w14:paraId="377D4075" w14:textId="3DC05B41" w:rsidR="00042A2A" w:rsidRDefault="00042A2A" w:rsidP="00042A2A">
      <w:pPr>
        <w:rPr>
          <w:rFonts w:ascii="Verdana" w:hAnsi="Verdana"/>
        </w:rPr>
      </w:pPr>
      <w:r>
        <w:rPr>
          <w:rFonts w:ascii="Verdana" w:hAnsi="Verdana"/>
        </w:rPr>
        <w:t>Rules:</w:t>
      </w:r>
    </w:p>
    <w:p w14:paraId="31E21D23" w14:textId="77777777" w:rsidR="00042A2A" w:rsidRPr="00293336" w:rsidRDefault="00042A2A" w:rsidP="00042A2A">
      <w:pPr>
        <w:pStyle w:val="ListParagraph"/>
        <w:numPr>
          <w:ilvl w:val="0"/>
          <w:numId w:val="3"/>
        </w:numPr>
        <w:rPr>
          <w:rFonts w:ascii="Verdana" w:hAnsi="Verdana"/>
        </w:rPr>
      </w:pPr>
      <w:r w:rsidRPr="00293336">
        <w:rPr>
          <w:rFonts w:ascii="Verdana" w:hAnsi="Verdana"/>
        </w:rPr>
        <w:t>PH and TH</w:t>
      </w:r>
    </w:p>
    <w:p w14:paraId="4A848D9F" w14:textId="77777777" w:rsidR="00042A2A" w:rsidRPr="00293336" w:rsidRDefault="00042A2A" w:rsidP="00042A2A">
      <w:pPr>
        <w:pStyle w:val="ListParagraph"/>
        <w:numPr>
          <w:ilvl w:val="0"/>
          <w:numId w:val="3"/>
        </w:numPr>
        <w:rPr>
          <w:rFonts w:ascii="Verdana" w:hAnsi="Verdana"/>
        </w:rPr>
      </w:pPr>
      <w:r w:rsidRPr="00293336">
        <w:rPr>
          <w:rFonts w:ascii="Verdana" w:hAnsi="Verdana"/>
        </w:rPr>
        <w:t>If RRH, must have a move-in date</w:t>
      </w:r>
    </w:p>
    <w:p w14:paraId="5A39F8A8" w14:textId="77777777" w:rsidR="00042A2A" w:rsidRPr="00293336" w:rsidRDefault="00042A2A" w:rsidP="00042A2A">
      <w:pPr>
        <w:pStyle w:val="ListParagraph"/>
        <w:numPr>
          <w:ilvl w:val="0"/>
          <w:numId w:val="3"/>
        </w:numPr>
        <w:rPr>
          <w:rFonts w:ascii="Verdana" w:hAnsi="Verdana"/>
        </w:rPr>
      </w:pPr>
      <w:r w:rsidRPr="00293336">
        <w:rPr>
          <w:rFonts w:ascii="Verdana" w:hAnsi="Verdana"/>
        </w:rPr>
        <w:t>Households, not individuals</w:t>
      </w:r>
    </w:p>
    <w:p w14:paraId="7D053472" w14:textId="77777777" w:rsidR="00042A2A" w:rsidRPr="00293336" w:rsidRDefault="00042A2A" w:rsidP="00042A2A">
      <w:pPr>
        <w:pStyle w:val="ListParagraph"/>
        <w:numPr>
          <w:ilvl w:val="0"/>
          <w:numId w:val="3"/>
        </w:numPr>
        <w:rPr>
          <w:rFonts w:ascii="Verdana" w:hAnsi="Verdana"/>
        </w:rPr>
      </w:pPr>
      <w:r w:rsidRPr="00293336">
        <w:rPr>
          <w:rFonts w:ascii="Verdana" w:hAnsi="Verdana"/>
        </w:rPr>
        <w:t>Must take from the top of the list</w:t>
      </w:r>
    </w:p>
    <w:p w14:paraId="5B1E8AD1" w14:textId="2DF9C416" w:rsidR="00042A2A" w:rsidRPr="00042A2A" w:rsidRDefault="00042A2A" w:rsidP="00042A2A">
      <w:pPr>
        <w:pStyle w:val="ListParagraph"/>
        <w:rPr>
          <w:rFonts w:ascii="Verdana" w:hAnsi="Verdana"/>
        </w:rPr>
      </w:pPr>
    </w:p>
    <w:p w14:paraId="68DF0CD6" w14:textId="4FFC68B3" w:rsidR="00042A2A" w:rsidRPr="00293336" w:rsidRDefault="00042A2A" w:rsidP="00293336">
      <w:pPr>
        <w:pStyle w:val="ListParagraph"/>
        <w:numPr>
          <w:ilvl w:val="0"/>
          <w:numId w:val="2"/>
        </w:numPr>
        <w:rPr>
          <w:rFonts w:ascii="Verdana" w:hAnsi="Verdana"/>
        </w:rPr>
      </w:pPr>
      <w:r>
        <w:rPr>
          <w:rFonts w:ascii="Verdana" w:hAnsi="Verdana"/>
          <w:b/>
        </w:rPr>
        <w:t>Presentation for the May BOS Meeting</w:t>
      </w:r>
    </w:p>
    <w:p w14:paraId="435FC632" w14:textId="77777777" w:rsidR="00293336" w:rsidRPr="00293336" w:rsidRDefault="00293336" w:rsidP="00293336">
      <w:pPr>
        <w:pStyle w:val="ListParagraph"/>
        <w:rPr>
          <w:rFonts w:ascii="Verdana" w:hAnsi="Verdana"/>
        </w:rPr>
      </w:pPr>
    </w:p>
    <w:p w14:paraId="2B1363A8" w14:textId="3D265E83" w:rsidR="009A0D4B" w:rsidRPr="00293336" w:rsidRDefault="009A0D4B" w:rsidP="00042A2A">
      <w:pPr>
        <w:rPr>
          <w:rFonts w:ascii="Verdana" w:hAnsi="Verdana"/>
        </w:rPr>
      </w:pPr>
      <w:r w:rsidRPr="00293336">
        <w:rPr>
          <w:rFonts w:ascii="Verdana" w:hAnsi="Verdana"/>
        </w:rPr>
        <w:t>Housing Pledge</w:t>
      </w:r>
    </w:p>
    <w:p w14:paraId="21E2DFE7" w14:textId="77777777" w:rsidR="001714F9" w:rsidRPr="00293336" w:rsidRDefault="001714F9" w:rsidP="00042A2A">
      <w:pPr>
        <w:pStyle w:val="ListParagraph"/>
        <w:numPr>
          <w:ilvl w:val="0"/>
          <w:numId w:val="1"/>
        </w:numPr>
        <w:rPr>
          <w:rFonts w:ascii="Verdana" w:hAnsi="Verdana"/>
        </w:rPr>
      </w:pPr>
      <w:r w:rsidRPr="00293336">
        <w:rPr>
          <w:rFonts w:ascii="Verdana" w:hAnsi="Verdana"/>
        </w:rPr>
        <w:t>Where we’re at</w:t>
      </w:r>
    </w:p>
    <w:p w14:paraId="17B4596B" w14:textId="77777777" w:rsidR="001714F9" w:rsidRPr="00293336" w:rsidRDefault="001714F9" w:rsidP="00042A2A">
      <w:pPr>
        <w:pStyle w:val="ListParagraph"/>
        <w:numPr>
          <w:ilvl w:val="0"/>
          <w:numId w:val="1"/>
        </w:numPr>
        <w:rPr>
          <w:rFonts w:ascii="Verdana" w:hAnsi="Verdana"/>
        </w:rPr>
      </w:pPr>
      <w:r w:rsidRPr="00293336">
        <w:rPr>
          <w:rFonts w:ascii="Verdana" w:hAnsi="Verdana"/>
        </w:rPr>
        <w:t>How is it going?</w:t>
      </w:r>
    </w:p>
    <w:p w14:paraId="7CD70FB2" w14:textId="77777777" w:rsidR="001714F9" w:rsidRPr="00293336" w:rsidRDefault="001714F9" w:rsidP="00042A2A">
      <w:pPr>
        <w:pStyle w:val="ListParagraph"/>
        <w:numPr>
          <w:ilvl w:val="0"/>
          <w:numId w:val="1"/>
        </w:numPr>
        <w:rPr>
          <w:rFonts w:ascii="Verdana" w:hAnsi="Verdana"/>
        </w:rPr>
      </w:pPr>
      <w:r w:rsidRPr="00293336">
        <w:rPr>
          <w:rFonts w:ascii="Verdana" w:hAnsi="Verdana"/>
        </w:rPr>
        <w:t>“Official Rules”</w:t>
      </w:r>
    </w:p>
    <w:p w14:paraId="618217D9" w14:textId="77777777" w:rsidR="001714F9" w:rsidRPr="00293336" w:rsidRDefault="001714F9" w:rsidP="00042A2A">
      <w:pPr>
        <w:pStyle w:val="ListParagraph"/>
        <w:numPr>
          <w:ilvl w:val="0"/>
          <w:numId w:val="1"/>
        </w:numPr>
        <w:rPr>
          <w:rFonts w:ascii="Verdana" w:hAnsi="Verdana"/>
        </w:rPr>
      </w:pPr>
      <w:r w:rsidRPr="00293336">
        <w:rPr>
          <w:rFonts w:ascii="Verdana" w:hAnsi="Verdana"/>
        </w:rPr>
        <w:t>How this relates to system performance (and System Performance Measures)</w:t>
      </w:r>
    </w:p>
    <w:p w14:paraId="56D9C728" w14:textId="77777777" w:rsidR="009A0D4B" w:rsidRPr="00042A2A" w:rsidRDefault="009A0D4B" w:rsidP="00042A2A">
      <w:pPr>
        <w:rPr>
          <w:rFonts w:ascii="Verdana" w:hAnsi="Verdana"/>
        </w:rPr>
      </w:pPr>
      <w:r w:rsidRPr="00042A2A">
        <w:rPr>
          <w:rFonts w:ascii="Verdana" w:hAnsi="Verdana"/>
        </w:rPr>
        <w:t>APR plans for the rest of the year</w:t>
      </w:r>
    </w:p>
    <w:p w14:paraId="7BBA35E0" w14:textId="77777777" w:rsidR="009A0D4B" w:rsidRPr="00293336" w:rsidRDefault="009A0D4B" w:rsidP="00042A2A">
      <w:pPr>
        <w:pStyle w:val="ListParagraph"/>
        <w:rPr>
          <w:rFonts w:ascii="Verdana" w:hAnsi="Verdana"/>
        </w:rPr>
      </w:pPr>
    </w:p>
    <w:sectPr w:rsidR="009A0D4B" w:rsidRPr="0029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C6998"/>
    <w:multiLevelType w:val="hybridMultilevel"/>
    <w:tmpl w:val="A190A2EA"/>
    <w:lvl w:ilvl="0" w:tplc="5A46CD0A">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C504D"/>
    <w:multiLevelType w:val="hybridMultilevel"/>
    <w:tmpl w:val="9F667B60"/>
    <w:lvl w:ilvl="0" w:tplc="71D8F66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F29B1"/>
    <w:multiLevelType w:val="hybridMultilevel"/>
    <w:tmpl w:val="52FACD7C"/>
    <w:lvl w:ilvl="0" w:tplc="BD40CFB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3D07F2"/>
    <w:multiLevelType w:val="hybridMultilevel"/>
    <w:tmpl w:val="488ECECE"/>
    <w:lvl w:ilvl="0" w:tplc="1B480DD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0D1"/>
    <w:rsid w:val="00042A2A"/>
    <w:rsid w:val="000432BA"/>
    <w:rsid w:val="001714F9"/>
    <w:rsid w:val="001B20D1"/>
    <w:rsid w:val="00293336"/>
    <w:rsid w:val="00612124"/>
    <w:rsid w:val="00622B12"/>
    <w:rsid w:val="00713763"/>
    <w:rsid w:val="008F1430"/>
    <w:rsid w:val="009A0D4B"/>
    <w:rsid w:val="00A145C9"/>
    <w:rsid w:val="00C92EF2"/>
    <w:rsid w:val="00DC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4830"/>
  <w15:chartTrackingRefBased/>
  <w15:docId w15:val="{5F434465-B377-49E0-BBB3-17C873323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0D1"/>
    <w:pPr>
      <w:ind w:left="720"/>
      <w:contextualSpacing/>
    </w:pPr>
  </w:style>
  <w:style w:type="paragraph" w:styleId="NormalWeb">
    <w:name w:val="Normal (Web)"/>
    <w:basedOn w:val="Normal"/>
    <w:uiPriority w:val="99"/>
    <w:semiHidden/>
    <w:unhideWhenUsed/>
    <w:rsid w:val="00C92EF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42A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78426">
      <w:bodyDiv w:val="1"/>
      <w:marLeft w:val="45"/>
      <w:marRight w:val="45"/>
      <w:marTop w:val="45"/>
      <w:marBottom w:val="45"/>
      <w:divBdr>
        <w:top w:val="none" w:sz="0" w:space="0" w:color="auto"/>
        <w:left w:val="none" w:sz="0" w:space="0" w:color="auto"/>
        <w:bottom w:val="none" w:sz="0" w:space="0" w:color="auto"/>
        <w:right w:val="none" w:sz="0" w:space="0" w:color="auto"/>
      </w:divBdr>
      <w:divsChild>
        <w:div w:id="69472609">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ocs.live.net/b4ea1993b9f4285b/Documents/WIBOSCOC/Data%20Committee%20CoC%20Workgroup/Meeting%20Minutes%20and%20Agendas/o%09https:/www.hudexchange.info/training-events/system-performance-measu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Dirkman</dc:creator>
  <cp:keywords/>
  <dc:description/>
  <cp:lastModifiedBy>Jesse Dirkman</cp:lastModifiedBy>
  <cp:revision>2</cp:revision>
  <dcterms:created xsi:type="dcterms:W3CDTF">2016-06-17T16:24:00Z</dcterms:created>
  <dcterms:modified xsi:type="dcterms:W3CDTF">2016-06-17T16:24:00Z</dcterms:modified>
</cp:coreProperties>
</file>