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7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Coordinated Assessment </w:t>
      </w:r>
      <w:r w:rsidR="00C47631">
        <w:rPr>
          <w:b/>
          <w:sz w:val="28"/>
          <w:szCs w:val="28"/>
        </w:rPr>
        <w:t>Committee</w:t>
      </w:r>
    </w:p>
    <w:p w:rsidR="00F942E7" w:rsidRPr="00CF465C" w:rsidRDefault="00F942E7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CF465C">
        <w:rPr>
          <w:b/>
          <w:sz w:val="28"/>
          <w:szCs w:val="28"/>
        </w:rPr>
        <w:t>Meeting Minutes</w:t>
      </w:r>
    </w:p>
    <w:p w:rsidR="00F942E7" w:rsidRPr="00CF465C" w:rsidRDefault="00C47631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Wednesday, August 5, 2015</w:t>
      </w:r>
    </w:p>
    <w:tbl>
      <w:tblPr>
        <w:tblStyle w:val="TableGrid"/>
        <w:tblW w:w="0" w:type="auto"/>
        <w:tblLook w:val="04A0"/>
      </w:tblPr>
      <w:tblGrid>
        <w:gridCol w:w="6678"/>
        <w:gridCol w:w="990"/>
        <w:gridCol w:w="900"/>
        <w:gridCol w:w="990"/>
      </w:tblGrid>
      <w:tr w:rsidR="00B4455A" w:rsidRPr="006317D2" w:rsidTr="00A9718F">
        <w:tc>
          <w:tcPr>
            <w:tcW w:w="6678" w:type="dxa"/>
          </w:tcPr>
          <w:p w:rsidR="00B4455A" w:rsidRPr="006317D2" w:rsidRDefault="00B4455A" w:rsidP="00A9718F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B4455A" w:rsidRPr="006317D2" w:rsidRDefault="00B4455A" w:rsidP="00A9718F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B4455A" w:rsidRPr="006317D2" w:rsidRDefault="00B4455A" w:rsidP="00A9718F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B4455A" w:rsidRPr="006317D2" w:rsidRDefault="00B4455A" w:rsidP="00A9718F">
            <w:pPr>
              <w:rPr>
                <w:b/>
                <w:sz w:val="20"/>
                <w:szCs w:val="20"/>
              </w:rPr>
            </w:pPr>
            <w:r w:rsidRPr="006317D2">
              <w:rPr>
                <w:b/>
                <w:sz w:val="20"/>
                <w:szCs w:val="20"/>
              </w:rPr>
              <w:t>Absent</w:t>
            </w:r>
          </w:p>
        </w:tc>
      </w:tr>
      <w:tr w:rsidR="00B4455A" w:rsidRPr="006953E8" w:rsidTr="00A9718F">
        <w:tc>
          <w:tcPr>
            <w:tcW w:w="6678" w:type="dxa"/>
          </w:tcPr>
          <w:p w:rsidR="00B4455A" w:rsidRPr="00EE4694" w:rsidRDefault="00B4455A" w:rsidP="00A971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Tubridy</w:t>
            </w:r>
            <w:proofErr w:type="spellEnd"/>
            <w:r>
              <w:rPr>
                <w:sz w:val="20"/>
                <w:szCs w:val="20"/>
              </w:rPr>
              <w:t xml:space="preserve"> – West CAP</w:t>
            </w:r>
          </w:p>
        </w:tc>
        <w:tc>
          <w:tcPr>
            <w:tcW w:w="990" w:type="dxa"/>
          </w:tcPr>
          <w:p w:rsidR="00B4455A" w:rsidRPr="00EE4694" w:rsidRDefault="00B4455A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b/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Karen Faulkner – Golden House</w:t>
            </w:r>
          </w:p>
        </w:tc>
        <w:tc>
          <w:tcPr>
            <w:tcW w:w="990" w:type="dxa"/>
          </w:tcPr>
          <w:p w:rsidR="00B4455A" w:rsidRPr="00EE4694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393B9F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b/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Karen Roehl – LAW</w:t>
            </w:r>
          </w:p>
        </w:tc>
        <w:tc>
          <w:tcPr>
            <w:tcW w:w="990" w:type="dxa"/>
          </w:tcPr>
          <w:p w:rsidR="00B4455A" w:rsidRPr="006953E8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b/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 xml:space="preserve">Maggie </w:t>
            </w:r>
            <w:proofErr w:type="spellStart"/>
            <w:r w:rsidRPr="00B4455A">
              <w:rPr>
                <w:sz w:val="20"/>
                <w:szCs w:val="20"/>
              </w:rPr>
              <w:t>Carden</w:t>
            </w:r>
            <w:proofErr w:type="spellEnd"/>
            <w:r w:rsidRPr="00B4455A">
              <w:rPr>
                <w:sz w:val="20"/>
                <w:szCs w:val="20"/>
              </w:rPr>
              <w:t xml:space="preserve"> – ICA</w:t>
            </w:r>
          </w:p>
        </w:tc>
        <w:tc>
          <w:tcPr>
            <w:tcW w:w="990" w:type="dxa"/>
          </w:tcPr>
          <w:p w:rsidR="00B4455A" w:rsidRPr="006953E8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b/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</w:tcPr>
          <w:p w:rsidR="00B4455A" w:rsidRPr="006953E8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b/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Kate Surprise – Waushara Human Services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393B9F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b/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50098D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Sarah Rodefer – NAMI Waukesha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393B9F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B4455A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Sue Sippel –The Family Center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 xml:space="preserve">Tammy </w:t>
            </w:r>
            <w:proofErr w:type="spellStart"/>
            <w:r w:rsidRPr="00B4455A">
              <w:rPr>
                <w:sz w:val="20"/>
                <w:szCs w:val="20"/>
              </w:rPr>
              <w:t>Modic</w:t>
            </w:r>
            <w:proofErr w:type="spellEnd"/>
            <w:r w:rsidRPr="00B4455A">
              <w:rPr>
                <w:sz w:val="20"/>
                <w:szCs w:val="20"/>
              </w:rPr>
              <w:t xml:space="preserve"> – </w:t>
            </w:r>
            <w:proofErr w:type="spellStart"/>
            <w:r w:rsidRPr="00B4455A">
              <w:rPr>
                <w:sz w:val="20"/>
                <w:szCs w:val="20"/>
              </w:rPr>
              <w:t>Northwoods</w:t>
            </w:r>
            <w:proofErr w:type="spellEnd"/>
            <w:r w:rsidRPr="00B4455A">
              <w:rPr>
                <w:sz w:val="20"/>
                <w:szCs w:val="20"/>
              </w:rPr>
              <w:t xml:space="preserve"> Alliance for Temporary Housing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1B6D0D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Carrie Zinda – Forward Service Corporation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Sarah Williams – Edgerton Outreach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393B9F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Pr="006953E8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</w:tcPr>
          <w:p w:rsidR="00B4455A" w:rsidRPr="006953E8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Jeanette Petts - CACSCW</w:t>
            </w:r>
          </w:p>
        </w:tc>
        <w:tc>
          <w:tcPr>
            <w:tcW w:w="990" w:type="dxa"/>
          </w:tcPr>
          <w:p w:rsidR="00B4455A" w:rsidRPr="006953E8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</w:tcPr>
          <w:p w:rsidR="00B4455A" w:rsidRPr="006953E8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Jenny Yang – Family Services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Default="00150605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Megan Katers – Golden House</w:t>
            </w:r>
          </w:p>
        </w:tc>
        <w:tc>
          <w:tcPr>
            <w:tcW w:w="990" w:type="dxa"/>
          </w:tcPr>
          <w:p w:rsidR="00B4455A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455A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393B9F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Becky Piper – Career Development Center</w:t>
            </w:r>
          </w:p>
        </w:tc>
        <w:tc>
          <w:tcPr>
            <w:tcW w:w="990" w:type="dxa"/>
          </w:tcPr>
          <w:p w:rsidR="00B4455A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Ann Kohanek – West CAP</w:t>
            </w:r>
          </w:p>
        </w:tc>
        <w:tc>
          <w:tcPr>
            <w:tcW w:w="990" w:type="dxa"/>
          </w:tcPr>
          <w:p w:rsidR="00B4455A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 xml:space="preserve">Paige Wandling – Salvation Army </w:t>
            </w:r>
            <w:proofErr w:type="spellStart"/>
            <w:r w:rsidRPr="00B4455A"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990" w:type="dxa"/>
          </w:tcPr>
          <w:p w:rsidR="00B4455A" w:rsidRDefault="00C250A7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B4455A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B4455A" w:rsidRPr="006953E8" w:rsidTr="00A9718F">
        <w:tc>
          <w:tcPr>
            <w:tcW w:w="6678" w:type="dxa"/>
          </w:tcPr>
          <w:p w:rsidR="00B4455A" w:rsidRPr="00B4455A" w:rsidRDefault="00B4455A" w:rsidP="00A9718F">
            <w:pPr>
              <w:rPr>
                <w:sz w:val="20"/>
                <w:szCs w:val="20"/>
              </w:rPr>
            </w:pPr>
            <w:r w:rsidRPr="00B4455A">
              <w:rPr>
                <w:sz w:val="20"/>
                <w:szCs w:val="20"/>
              </w:rPr>
              <w:t>Carrie Poser – WI BOSCOC</w:t>
            </w:r>
          </w:p>
        </w:tc>
        <w:tc>
          <w:tcPr>
            <w:tcW w:w="990" w:type="dxa"/>
          </w:tcPr>
          <w:p w:rsidR="00B4455A" w:rsidRDefault="00B4455A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00" w:type="dxa"/>
          </w:tcPr>
          <w:p w:rsidR="00B4455A" w:rsidRDefault="00B4455A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4455A" w:rsidRPr="006953E8" w:rsidRDefault="00B4455A" w:rsidP="00A9718F">
            <w:pPr>
              <w:rPr>
                <w:b/>
                <w:sz w:val="20"/>
                <w:szCs w:val="20"/>
              </w:rPr>
            </w:pPr>
          </w:p>
        </w:tc>
      </w:tr>
      <w:tr w:rsidR="0059022F" w:rsidRPr="006953E8" w:rsidTr="00A9718F">
        <w:tc>
          <w:tcPr>
            <w:tcW w:w="6678" w:type="dxa"/>
          </w:tcPr>
          <w:p w:rsidR="0059022F" w:rsidRPr="00B4455A" w:rsidRDefault="0059022F" w:rsidP="00A97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Allen - ICA</w:t>
            </w:r>
          </w:p>
        </w:tc>
        <w:tc>
          <w:tcPr>
            <w:tcW w:w="990" w:type="dxa"/>
          </w:tcPr>
          <w:p w:rsidR="0059022F" w:rsidRDefault="0059022F" w:rsidP="00A97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59022F" w:rsidRDefault="0059022F" w:rsidP="00A9718F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59022F" w:rsidRPr="006953E8" w:rsidRDefault="0059022F" w:rsidP="00A9718F">
            <w:pPr>
              <w:rPr>
                <w:b/>
                <w:sz w:val="20"/>
                <w:szCs w:val="20"/>
              </w:rPr>
            </w:pPr>
          </w:p>
        </w:tc>
      </w:tr>
    </w:tbl>
    <w:p w:rsidR="006953E8" w:rsidRDefault="006953E8" w:rsidP="00F942E7">
      <w:pPr>
        <w:rPr>
          <w:b/>
        </w:rPr>
      </w:pPr>
    </w:p>
    <w:p w:rsidR="00393B9F" w:rsidRPr="009947CC" w:rsidRDefault="00393B9F" w:rsidP="00393B9F">
      <w:pPr>
        <w:rPr>
          <w:u w:val="single"/>
        </w:rPr>
      </w:pPr>
      <w:r w:rsidRPr="009947CC">
        <w:rPr>
          <w:rStyle w:val="Strong"/>
          <w:color w:val="000000"/>
          <w:u w:val="single"/>
        </w:rPr>
        <w:t>Agenda Items</w:t>
      </w:r>
    </w:p>
    <w:p w:rsidR="00393B9F" w:rsidRPr="009947CC" w:rsidRDefault="00393B9F" w:rsidP="00393B9F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Review HUD’s Coordinated Assessment Policy Brief </w:t>
      </w:r>
    </w:p>
    <w:p w:rsidR="00393B9F" w:rsidRDefault="00393B9F" w:rsidP="00393B9F">
      <w:pPr>
        <w:numPr>
          <w:ilvl w:val="2"/>
          <w:numId w:val="2"/>
        </w:numPr>
        <w:spacing w:after="0"/>
        <w:ind w:left="1440" w:hanging="720"/>
      </w:pPr>
      <w:r w:rsidRPr="005361C8">
        <w:t>H</w:t>
      </w:r>
      <w:r>
        <w:t>ousing First Orientation</w:t>
      </w:r>
    </w:p>
    <w:p w:rsidR="00393B9F" w:rsidRPr="005361C8" w:rsidRDefault="00393B9F" w:rsidP="00393B9F">
      <w:pPr>
        <w:numPr>
          <w:ilvl w:val="3"/>
          <w:numId w:val="2"/>
        </w:numPr>
        <w:spacing w:after="0"/>
      </w:pPr>
      <w:r>
        <w:t>Program standards address Housing First orientation</w:t>
      </w:r>
    </w:p>
    <w:p w:rsidR="00393B9F" w:rsidRDefault="00393B9F" w:rsidP="00393B9F">
      <w:pPr>
        <w:numPr>
          <w:ilvl w:val="2"/>
          <w:numId w:val="2"/>
        </w:numPr>
        <w:spacing w:after="0"/>
        <w:ind w:left="1440" w:hanging="720"/>
      </w:pPr>
      <w:r>
        <w:t>Emergency Services</w:t>
      </w:r>
    </w:p>
    <w:p w:rsidR="00393B9F" w:rsidRDefault="00393B9F" w:rsidP="00393B9F">
      <w:pPr>
        <w:numPr>
          <w:ilvl w:val="3"/>
          <w:numId w:val="2"/>
        </w:numPr>
        <w:spacing w:after="0"/>
      </w:pPr>
      <w:r>
        <w:t>Our process does not address access to emergency shelters at this time</w:t>
      </w:r>
    </w:p>
    <w:p w:rsidR="00393B9F" w:rsidRPr="005361C8" w:rsidRDefault="00393B9F" w:rsidP="00393B9F">
      <w:pPr>
        <w:numPr>
          <w:ilvl w:val="3"/>
          <w:numId w:val="2"/>
        </w:numPr>
        <w:spacing w:after="0"/>
      </w:pPr>
      <w:r>
        <w:t>Discussion: As a BOS, most communities do not have more than one emergency shelter, as opposed to larger cities that need to coordinate access to several shelters</w:t>
      </w:r>
    </w:p>
    <w:p w:rsidR="00393B9F" w:rsidRDefault="00393B9F" w:rsidP="00393B9F">
      <w:pPr>
        <w:numPr>
          <w:ilvl w:val="2"/>
          <w:numId w:val="2"/>
        </w:numPr>
        <w:spacing w:after="0"/>
        <w:ind w:left="1440" w:hanging="720"/>
      </w:pPr>
      <w:r w:rsidRPr="005361C8">
        <w:t xml:space="preserve">Referral to Projects </w:t>
      </w:r>
    </w:p>
    <w:p w:rsidR="00393B9F" w:rsidRDefault="00393B9F" w:rsidP="00393B9F">
      <w:pPr>
        <w:numPr>
          <w:ilvl w:val="3"/>
          <w:numId w:val="2"/>
        </w:numPr>
        <w:spacing w:after="0"/>
      </w:pPr>
      <w:r>
        <w:t xml:space="preserve">The current process does not address </w:t>
      </w:r>
      <w:r w:rsidR="00BF1BF5">
        <w:t>referrals to emergency shelters (see above discussion)</w:t>
      </w:r>
    </w:p>
    <w:p w:rsidR="00BF1BF5" w:rsidRPr="005361C8" w:rsidRDefault="00BF1BF5" w:rsidP="00393B9F">
      <w:pPr>
        <w:numPr>
          <w:ilvl w:val="3"/>
          <w:numId w:val="2"/>
        </w:numPr>
        <w:spacing w:after="0"/>
      </w:pPr>
      <w:r>
        <w:t>Committee agreed to set a time line for adding emergency shelters into the CA System by 7/1/16</w:t>
      </w:r>
    </w:p>
    <w:p w:rsidR="00393B9F" w:rsidRDefault="00393B9F" w:rsidP="00393B9F">
      <w:pPr>
        <w:numPr>
          <w:ilvl w:val="2"/>
          <w:numId w:val="2"/>
        </w:numPr>
        <w:spacing w:after="0"/>
        <w:ind w:left="1440" w:hanging="720"/>
      </w:pPr>
      <w:r w:rsidRPr="005361C8">
        <w:t xml:space="preserve">Referral Protocols </w:t>
      </w:r>
    </w:p>
    <w:p w:rsidR="00393B9F" w:rsidRDefault="00393B9F" w:rsidP="00393B9F">
      <w:pPr>
        <w:numPr>
          <w:ilvl w:val="3"/>
          <w:numId w:val="2"/>
        </w:numPr>
        <w:spacing w:after="0"/>
      </w:pPr>
      <w:r>
        <w:lastRenderedPageBreak/>
        <w:t>Referral process is outlined in the document</w:t>
      </w:r>
    </w:p>
    <w:p w:rsidR="00393B9F" w:rsidRPr="005361C8" w:rsidRDefault="00393B9F" w:rsidP="00393B9F">
      <w:pPr>
        <w:numPr>
          <w:ilvl w:val="3"/>
          <w:numId w:val="2"/>
        </w:numPr>
        <w:spacing w:after="0"/>
      </w:pPr>
      <w:r>
        <w:t>The Committee still needs to identify the process by which a program can deny a referral</w:t>
      </w:r>
    </w:p>
    <w:p w:rsidR="00393B9F" w:rsidRPr="005361C8" w:rsidRDefault="00393B9F" w:rsidP="00393B9F">
      <w:pPr>
        <w:numPr>
          <w:ilvl w:val="2"/>
          <w:numId w:val="2"/>
        </w:numPr>
        <w:spacing w:after="0"/>
        <w:ind w:left="1440" w:hanging="720"/>
      </w:pPr>
      <w:r w:rsidRPr="005361C8">
        <w:t>Ongoing Planni</w:t>
      </w:r>
      <w:r w:rsidR="00BF1BF5">
        <w:t>ng and Stakeholder Consultation</w:t>
      </w:r>
    </w:p>
    <w:p w:rsidR="00393B9F" w:rsidRDefault="00BF1BF5" w:rsidP="00393B9F">
      <w:pPr>
        <w:numPr>
          <w:ilvl w:val="2"/>
          <w:numId w:val="2"/>
        </w:numPr>
        <w:spacing w:after="0"/>
        <w:ind w:left="1440" w:hanging="720"/>
      </w:pPr>
      <w:r>
        <w:t>Informing Local Planning</w:t>
      </w:r>
    </w:p>
    <w:p w:rsidR="00BF1BF5" w:rsidRPr="005361C8" w:rsidRDefault="00BF1BF5" w:rsidP="00BF1BF5">
      <w:pPr>
        <w:numPr>
          <w:ilvl w:val="3"/>
          <w:numId w:val="2"/>
        </w:numPr>
        <w:spacing w:after="0"/>
      </w:pPr>
      <w:r>
        <w:t xml:space="preserve">The Committee can offer guidance to local </w:t>
      </w:r>
      <w:proofErr w:type="spellStart"/>
      <w:r>
        <w:t>CoCs</w:t>
      </w:r>
      <w:proofErr w:type="spellEnd"/>
      <w:r>
        <w:t xml:space="preserve"> on how to use Coordinated Assessment and the data to inform local planning, assist with funding requests, and communicate what projects are doing to the local community</w:t>
      </w:r>
    </w:p>
    <w:p w:rsidR="00393B9F" w:rsidRDefault="00BF1BF5" w:rsidP="00393B9F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Review of Coordinated Assessment Policy and Procedure</w:t>
      </w:r>
    </w:p>
    <w:p w:rsidR="00393B9F" w:rsidRPr="00DF60E3" w:rsidRDefault="00BF1BF5" w:rsidP="00393B9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we missing?</w:t>
      </w:r>
    </w:p>
    <w:p w:rsidR="00393B9F" w:rsidRDefault="00BF1BF5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Overview of Coordinated Assessment</w:t>
      </w:r>
    </w:p>
    <w:p w:rsidR="00180F1F" w:rsidRDefault="00180F1F" w:rsidP="00180F1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HUD </w:t>
      </w:r>
      <w:r w:rsidR="009B1B14">
        <w:rPr>
          <w:rFonts w:asciiTheme="minorHAnsi" w:hAnsiTheme="minorHAnsi"/>
          <w:sz w:val="22"/>
          <w:szCs w:val="22"/>
        </w:rPr>
        <w:t>language for requirements, goals</w:t>
      </w:r>
    </w:p>
    <w:p w:rsidR="00BF1BF5" w:rsidRDefault="00BF1BF5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Guiding Principles</w:t>
      </w:r>
    </w:p>
    <w:p w:rsidR="009B1B14" w:rsidRDefault="009B1B14" w:rsidP="009B1B14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 HUD language</w:t>
      </w:r>
    </w:p>
    <w:p w:rsidR="009B1B14" w:rsidRDefault="009B1B14" w:rsidP="009B1B14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Look for commonalities in the Homework from local </w:t>
      </w:r>
      <w:proofErr w:type="spellStart"/>
      <w:r>
        <w:rPr>
          <w:rFonts w:asciiTheme="minorHAnsi" w:hAnsiTheme="minorHAnsi"/>
          <w:sz w:val="22"/>
          <w:szCs w:val="22"/>
        </w:rPr>
        <w:t>CoCs</w:t>
      </w:r>
      <w:proofErr w:type="spellEnd"/>
    </w:p>
    <w:p w:rsidR="009B1B14" w:rsidRDefault="0059022F" w:rsidP="009B1B14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 living document, we will use evaluation results to inform changes</w:t>
      </w:r>
    </w:p>
    <w:p w:rsidR="00BF1BF5" w:rsidRDefault="00BF1BF5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Addressing privacy concerns of people diagnosed with HIV/AIDS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we add this to the DV process? Or make a separate process?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Jeanette will send Joanna the language for the DV process and get her opinion on if that seems appropriate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Jeanette will talk to people in Madison to see what they are doing for this population</w:t>
      </w:r>
    </w:p>
    <w:p w:rsidR="00BF1BF5" w:rsidRDefault="00BF1BF5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Summary of Service Point process – data entry, making referrals, accepting referrals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To Guide as a separate document</w:t>
      </w:r>
    </w:p>
    <w:p w:rsidR="00180F1F" w:rsidRDefault="00180F1F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 for a program to decline a referral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Referrals are to the Prioritization List, not a specific agency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Discussion: We want to ensure we are documenting why an agency would decline a referral of an otherwise eligible household, but also keep that household on the prioritization list for other programs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Maggie and Jennifer will write this language with regards to Service Point</w:t>
      </w:r>
    </w:p>
    <w:p w:rsidR="00180F1F" w:rsidRDefault="00180F1F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Consumer Grievance Policy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Karen R. emailed the policy from North Carolina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Committee members will review and submit their feedback to </w:t>
      </w:r>
      <w:proofErr w:type="spellStart"/>
      <w:r>
        <w:rPr>
          <w:rFonts w:asciiTheme="minorHAnsi" w:hAnsiTheme="minorHAnsi"/>
          <w:sz w:val="22"/>
          <w:szCs w:val="22"/>
        </w:rPr>
        <w:t>Corin</w:t>
      </w:r>
      <w:proofErr w:type="spellEnd"/>
      <w:r>
        <w:rPr>
          <w:rFonts w:asciiTheme="minorHAnsi" w:hAnsiTheme="minorHAnsi"/>
          <w:sz w:val="22"/>
          <w:szCs w:val="22"/>
        </w:rPr>
        <w:t xml:space="preserve"> this week</w:t>
      </w:r>
    </w:p>
    <w:p w:rsidR="00180F1F" w:rsidRDefault="00180F1F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Provider Grievance Policy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Karen R. emailed the policy from North Carolina</w:t>
      </w:r>
    </w:p>
    <w:p w:rsidR="0059022F" w:rsidRP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Committee members will review and submit their feedback to </w:t>
      </w:r>
      <w:proofErr w:type="spellStart"/>
      <w:r>
        <w:rPr>
          <w:rFonts w:asciiTheme="minorHAnsi" w:hAnsiTheme="minorHAnsi"/>
          <w:sz w:val="22"/>
          <w:szCs w:val="22"/>
        </w:rPr>
        <w:t>Corin</w:t>
      </w:r>
      <w:proofErr w:type="spellEnd"/>
      <w:r>
        <w:rPr>
          <w:rFonts w:asciiTheme="minorHAnsi" w:hAnsiTheme="minorHAnsi"/>
          <w:sz w:val="22"/>
          <w:szCs w:val="22"/>
        </w:rPr>
        <w:t xml:space="preserve"> this week</w:t>
      </w:r>
    </w:p>
    <w:p w:rsidR="00180F1F" w:rsidRDefault="00180F1F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Timeline for follow-up on referrals</w:t>
      </w:r>
    </w:p>
    <w:p w:rsidR="0059022F" w:rsidRDefault="0059022F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Committee agreed on the following: Agencies/Programs are responsible for following up on their referrals to the Prioritization List at least every </w:t>
      </w:r>
      <w:r>
        <w:rPr>
          <w:rFonts w:asciiTheme="minorHAnsi" w:hAnsiTheme="minorHAnsi"/>
          <w:sz w:val="22"/>
          <w:szCs w:val="22"/>
        </w:rPr>
        <w:lastRenderedPageBreak/>
        <w:t>90 days. An Agency/Program can follow-up more frequently if it chooses.</w:t>
      </w:r>
    </w:p>
    <w:p w:rsidR="005D45BC" w:rsidRPr="005D45BC" w:rsidRDefault="005D45BC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5D45BC">
        <w:rPr>
          <w:rFonts w:asciiTheme="minorHAnsi" w:hAnsiTheme="minorHAnsi"/>
          <w:sz w:val="22"/>
          <w:szCs w:val="22"/>
        </w:rPr>
        <w:t>Follow-up involves contacting the household to determine if they are still in need of services and ensuring accurate contact information.</w:t>
      </w:r>
    </w:p>
    <w:p w:rsidR="005D45BC" w:rsidRPr="005D45BC" w:rsidRDefault="005D45BC" w:rsidP="00590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5D45BC">
        <w:rPr>
          <w:rFonts w:asciiTheme="minorHAnsi" w:hAnsiTheme="minorHAnsi"/>
          <w:sz w:val="22"/>
          <w:szCs w:val="22"/>
        </w:rPr>
        <w:t>Providers that contact a referral to offer services and find out the household is no longer in need</w:t>
      </w:r>
      <w:r w:rsidR="00CE2B4B">
        <w:rPr>
          <w:rFonts w:asciiTheme="minorHAnsi" w:hAnsiTheme="minorHAnsi"/>
          <w:sz w:val="22"/>
          <w:szCs w:val="22"/>
        </w:rPr>
        <w:t>,</w:t>
      </w:r>
      <w:r w:rsidRPr="005D45BC">
        <w:rPr>
          <w:rFonts w:asciiTheme="minorHAnsi" w:hAnsiTheme="minorHAnsi"/>
          <w:sz w:val="22"/>
          <w:szCs w:val="22"/>
        </w:rPr>
        <w:t xml:space="preserve"> can also close a referral in Service Point, even if that provider did not make the referral.</w:t>
      </w:r>
    </w:p>
    <w:p w:rsidR="005D45BC" w:rsidRDefault="005D45BC" w:rsidP="005D45BC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Timeline for additional implementations</w:t>
      </w:r>
    </w:p>
    <w:p w:rsidR="00CE2B4B" w:rsidRDefault="00CE2B4B" w:rsidP="00CE2B4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Emergency Shelters: 7/1/15</w:t>
      </w:r>
    </w:p>
    <w:p w:rsidR="00CE2B4B" w:rsidRDefault="00CE2B4B" w:rsidP="00CE2B4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Youth: 1/1/17</w:t>
      </w:r>
    </w:p>
    <w:p w:rsidR="00CE2B4B" w:rsidRDefault="00CE2B4B" w:rsidP="00CE2B4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Mainstream Resources: TBD</w:t>
      </w:r>
    </w:p>
    <w:p w:rsidR="005D45BC" w:rsidRDefault="005D45BC" w:rsidP="005D45BC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 language re: Fair and Equal Access</w:t>
      </w:r>
    </w:p>
    <w:p w:rsidR="005D45BC" w:rsidRPr="005D45BC" w:rsidRDefault="005D45BC" w:rsidP="005D45BC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Safety Planning for non-DV agencies</w:t>
      </w:r>
    </w:p>
    <w:p w:rsidR="00393B9F" w:rsidRPr="005D45BC" w:rsidRDefault="00BF1BF5" w:rsidP="00393B9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D45BC">
        <w:rPr>
          <w:rFonts w:asciiTheme="minorHAnsi" w:hAnsiTheme="minorHAnsi"/>
          <w:sz w:val="22"/>
          <w:szCs w:val="22"/>
        </w:rPr>
        <w:t>What needs tweaking?</w:t>
      </w:r>
    </w:p>
    <w:p w:rsidR="00393B9F" w:rsidRPr="005D45BC" w:rsidRDefault="00BF1BF5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D45BC">
        <w:rPr>
          <w:rFonts w:asciiTheme="minorHAnsi" w:hAnsiTheme="minorHAnsi"/>
          <w:sz w:val="22"/>
          <w:szCs w:val="22"/>
        </w:rPr>
        <w:t>Target Population</w:t>
      </w:r>
    </w:p>
    <w:p w:rsidR="005D45BC" w:rsidRDefault="005D45BC" w:rsidP="005D45BC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5D45BC">
        <w:rPr>
          <w:rFonts w:asciiTheme="minorHAnsi" w:hAnsiTheme="minorHAnsi"/>
          <w:sz w:val="22"/>
          <w:szCs w:val="22"/>
        </w:rPr>
        <w:t>Removed language</w:t>
      </w:r>
      <w:r>
        <w:rPr>
          <w:rFonts w:asciiTheme="minorHAnsi" w:hAnsiTheme="minorHAnsi"/>
          <w:sz w:val="22"/>
          <w:szCs w:val="22"/>
        </w:rPr>
        <w:t xml:space="preserve"> stating that we are </w:t>
      </w:r>
      <w:r w:rsidRPr="005D45BC">
        <w:rPr>
          <w:rFonts w:asciiTheme="minorHAnsi" w:hAnsiTheme="minorHAnsi"/>
          <w:sz w:val="22"/>
          <w:szCs w:val="22"/>
          <w:u w:val="single"/>
        </w:rPr>
        <w:t>not</w:t>
      </w:r>
      <w:r>
        <w:rPr>
          <w:rFonts w:asciiTheme="minorHAnsi" w:hAnsiTheme="minorHAnsi"/>
          <w:sz w:val="22"/>
          <w:szCs w:val="22"/>
        </w:rPr>
        <w:t xml:space="preserve"> targeting households at-risk of homelessness or stably housed</w:t>
      </w:r>
    </w:p>
    <w:p w:rsidR="00BF1BF5" w:rsidRDefault="00BF1BF5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Basic Definitions</w:t>
      </w:r>
    </w:p>
    <w:p w:rsidR="005D45BC" w:rsidRDefault="005D45BC" w:rsidP="005D45BC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Committee members will review the document and submit their suggestions for additional terms that need defining</w:t>
      </w:r>
    </w:p>
    <w:p w:rsidR="00180F1F" w:rsidRDefault="00180F1F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Prioritization Examples</w:t>
      </w:r>
    </w:p>
    <w:p w:rsidR="005D45BC" w:rsidRDefault="005D45BC" w:rsidP="005D45BC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Remove current chart and replace it with examples from the prioritization training</w:t>
      </w:r>
    </w:p>
    <w:p w:rsidR="00180F1F" w:rsidRDefault="00180F1F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More guidance for street outreach</w:t>
      </w:r>
    </w:p>
    <w:p w:rsidR="005D45BC" w:rsidRPr="005D45BC" w:rsidRDefault="005D45BC" w:rsidP="005D45BC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5D45BC">
        <w:rPr>
          <w:rFonts w:asciiTheme="minorHAnsi" w:hAnsiTheme="minorHAnsi"/>
          <w:sz w:val="22"/>
          <w:szCs w:val="22"/>
        </w:rPr>
        <w:t>Use HUD language to be more explicit about the need to outreach to persons living on the street/ in a place not meant for human habitation.</w:t>
      </w:r>
    </w:p>
    <w:p w:rsidR="00180F1F" w:rsidRDefault="00180F1F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Evaluation of outreach efforts</w:t>
      </w:r>
    </w:p>
    <w:p w:rsidR="00CE2B4B" w:rsidRDefault="00CE2B4B" w:rsidP="00CE2B4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Jeanette and Maggie to add this language to the existing section</w:t>
      </w:r>
    </w:p>
    <w:p w:rsidR="005D45BC" w:rsidRPr="00DF60E3" w:rsidRDefault="005D45BC" w:rsidP="00393B9F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Referral Process – emphasize its importance; add wording about client choice of where they want to live</w:t>
      </w:r>
    </w:p>
    <w:p w:rsidR="00393B9F" w:rsidRDefault="00393B9F" w:rsidP="00393B9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Coordinated Entry and Service Point</w:t>
      </w:r>
    </w:p>
    <w:p w:rsidR="00393B9F" w:rsidRPr="00394C1B" w:rsidRDefault="00393B9F" w:rsidP="00393B9F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94C1B">
        <w:rPr>
          <w:rFonts w:asciiTheme="minorHAnsi" w:hAnsiTheme="minorHAnsi"/>
          <w:sz w:val="22"/>
          <w:szCs w:val="22"/>
        </w:rPr>
        <w:t>Discussion was had about the burden of collecting UDEs for all referrals, when the household may not receive services.</w:t>
      </w:r>
    </w:p>
    <w:p w:rsidR="00393B9F" w:rsidRPr="00394C1B" w:rsidRDefault="00393B9F" w:rsidP="00393B9F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94C1B">
        <w:rPr>
          <w:rFonts w:asciiTheme="minorHAnsi" w:hAnsiTheme="minorHAnsi"/>
          <w:sz w:val="22"/>
          <w:szCs w:val="22"/>
        </w:rPr>
        <w:t>Maggie explained that UDEs are not required for referrals, we only need to collect Name, Gender, and DOB</w:t>
      </w:r>
    </w:p>
    <w:p w:rsidR="00393B9F" w:rsidRDefault="00393B9F" w:rsidP="00393B9F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94C1B">
        <w:rPr>
          <w:rFonts w:asciiTheme="minorHAnsi" w:hAnsiTheme="minorHAnsi"/>
          <w:sz w:val="22"/>
          <w:szCs w:val="22"/>
        </w:rPr>
        <w:t>For the Prioritization List we will also need the Homelessness History and Disability (to determine chronic homeless status)</w:t>
      </w:r>
    </w:p>
    <w:p w:rsidR="00393B9F" w:rsidRPr="00452799" w:rsidRDefault="00393B9F" w:rsidP="00393B9F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a Coordinated Entry Assessment that can capture this information</w:t>
      </w:r>
    </w:p>
    <w:p w:rsidR="00393B9F" w:rsidRDefault="00393B9F" w:rsidP="00393B9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August Presentation</w:t>
      </w:r>
    </w:p>
    <w:p w:rsidR="00393B9F" w:rsidRPr="00CE2B4B" w:rsidRDefault="00CE2B4B" w:rsidP="00393B9F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E2B4B">
        <w:rPr>
          <w:rFonts w:asciiTheme="minorHAnsi" w:hAnsiTheme="minorHAnsi"/>
          <w:sz w:val="22"/>
          <w:szCs w:val="22"/>
        </w:rPr>
        <w:t>Member’s Roles</w:t>
      </w:r>
    </w:p>
    <w:p w:rsidR="00393B9F" w:rsidRPr="00CE2B4B" w:rsidRDefault="00CE2B4B" w:rsidP="00393B9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CE2B4B">
        <w:rPr>
          <w:rFonts w:asciiTheme="minorHAnsi" w:hAnsiTheme="minorHAnsi"/>
          <w:sz w:val="22"/>
          <w:szCs w:val="22"/>
        </w:rPr>
        <w:t xml:space="preserve">Presentation: </w:t>
      </w:r>
      <w:proofErr w:type="spellStart"/>
      <w:r w:rsidRPr="00CE2B4B">
        <w:rPr>
          <w:rFonts w:asciiTheme="minorHAnsi" w:hAnsiTheme="minorHAnsi"/>
          <w:sz w:val="22"/>
          <w:szCs w:val="22"/>
        </w:rPr>
        <w:t>Corin</w:t>
      </w:r>
      <w:proofErr w:type="spellEnd"/>
      <w:r w:rsidRPr="00CE2B4B">
        <w:rPr>
          <w:rFonts w:asciiTheme="minorHAnsi" w:hAnsiTheme="minorHAnsi"/>
          <w:sz w:val="22"/>
          <w:szCs w:val="22"/>
        </w:rPr>
        <w:t xml:space="preserve"> and Jeanette</w:t>
      </w:r>
    </w:p>
    <w:p w:rsidR="00CE2B4B" w:rsidRPr="00CE2B4B" w:rsidRDefault="00CE2B4B" w:rsidP="00393B9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CE2B4B">
        <w:rPr>
          <w:rFonts w:asciiTheme="minorHAnsi" w:hAnsiTheme="minorHAnsi"/>
          <w:sz w:val="22"/>
          <w:szCs w:val="22"/>
        </w:rPr>
        <w:t>Available for questions: Jennifer, Tony, Sue</w:t>
      </w:r>
    </w:p>
    <w:p w:rsidR="00CE2B4B" w:rsidRPr="00CE2B4B" w:rsidRDefault="00CE2B4B" w:rsidP="00393B9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CE2B4B">
        <w:rPr>
          <w:rFonts w:asciiTheme="minorHAnsi" w:hAnsiTheme="minorHAnsi"/>
          <w:sz w:val="22"/>
          <w:szCs w:val="22"/>
        </w:rPr>
        <w:t>Notes: Debbie and Karen R.</w:t>
      </w:r>
    </w:p>
    <w:p w:rsidR="00CE2B4B" w:rsidRPr="00CE2B4B" w:rsidRDefault="00CE2B4B" w:rsidP="00393B9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CE2B4B">
        <w:rPr>
          <w:rFonts w:asciiTheme="minorHAnsi" w:hAnsiTheme="minorHAnsi"/>
          <w:sz w:val="22"/>
          <w:szCs w:val="22"/>
        </w:rPr>
        <w:t>Time tracking: Melissa</w:t>
      </w:r>
    </w:p>
    <w:p w:rsidR="00CE2B4B" w:rsidRPr="00CE2B4B" w:rsidRDefault="00CE2B4B" w:rsidP="00393B9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CE2B4B">
        <w:rPr>
          <w:rFonts w:asciiTheme="minorHAnsi" w:hAnsiTheme="minorHAnsi"/>
          <w:sz w:val="22"/>
          <w:szCs w:val="22"/>
        </w:rPr>
        <w:t>Microphone and Candy: Lisa and Paige</w:t>
      </w:r>
    </w:p>
    <w:p w:rsidR="00CE2B4B" w:rsidRPr="00CE2B4B" w:rsidRDefault="00CE2B4B" w:rsidP="00CE2B4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CE2B4B">
        <w:rPr>
          <w:rFonts w:asciiTheme="minorHAnsi" w:hAnsiTheme="minorHAnsi"/>
          <w:sz w:val="22"/>
          <w:szCs w:val="22"/>
        </w:rPr>
        <w:t>Deadline for feedback: 9/1/15 ideally, but no later than 9/15/15</w:t>
      </w:r>
    </w:p>
    <w:p w:rsidR="00393B9F" w:rsidRDefault="00393B9F" w:rsidP="00393B9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Topics for Next Meeting</w:t>
      </w:r>
    </w:p>
    <w:p w:rsidR="00393B9F" w:rsidRPr="005361C8" w:rsidRDefault="00393B9F" w:rsidP="00393B9F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feedback from BOS members</w:t>
      </w:r>
    </w:p>
    <w:p w:rsidR="00393B9F" w:rsidRPr="00EA107B" w:rsidRDefault="00393B9F" w:rsidP="00393B9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Future Meetings</w:t>
      </w:r>
    </w:p>
    <w:p w:rsidR="00393B9F" w:rsidRDefault="00393B9F" w:rsidP="00393B9F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BOS Presentation: Thursday, 8/13/15, 1:00 p.m. – 4:30 p.m.</w:t>
      </w:r>
    </w:p>
    <w:p w:rsidR="00393B9F" w:rsidRPr="009947CC" w:rsidRDefault="00393B9F" w:rsidP="00393B9F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Committee meeting: Wednesday, 9/2/15, 10:00 a.m. – 11:30 a.m.</w:t>
      </w:r>
    </w:p>
    <w:p w:rsidR="00393B9F" w:rsidRPr="00A03B09" w:rsidRDefault="00393B9F" w:rsidP="00393B9F">
      <w:pPr>
        <w:ind w:left="1080"/>
      </w:pPr>
    </w:p>
    <w:p w:rsidR="00393B9F" w:rsidRPr="009947CC" w:rsidRDefault="00393B9F" w:rsidP="00393B9F"/>
    <w:p w:rsidR="00A3773B" w:rsidRPr="009947CC" w:rsidRDefault="00A3773B" w:rsidP="00393B9F"/>
    <w:sectPr w:rsidR="00A3773B" w:rsidRPr="009947CC" w:rsidSect="0078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3B"/>
    <w:rsid w:val="000970F9"/>
    <w:rsid w:val="00150605"/>
    <w:rsid w:val="00180F1F"/>
    <w:rsid w:val="001B6D0D"/>
    <w:rsid w:val="002040C6"/>
    <w:rsid w:val="00393B9F"/>
    <w:rsid w:val="004028E5"/>
    <w:rsid w:val="004660A8"/>
    <w:rsid w:val="0050098D"/>
    <w:rsid w:val="0059022F"/>
    <w:rsid w:val="005D45BC"/>
    <w:rsid w:val="006317D2"/>
    <w:rsid w:val="00673719"/>
    <w:rsid w:val="006953E8"/>
    <w:rsid w:val="00767213"/>
    <w:rsid w:val="0078686B"/>
    <w:rsid w:val="007A23FA"/>
    <w:rsid w:val="00853ECF"/>
    <w:rsid w:val="009320D5"/>
    <w:rsid w:val="009947CC"/>
    <w:rsid w:val="009B1B14"/>
    <w:rsid w:val="00A3773B"/>
    <w:rsid w:val="00AB102D"/>
    <w:rsid w:val="00AB2354"/>
    <w:rsid w:val="00B4455A"/>
    <w:rsid w:val="00BF1BF5"/>
    <w:rsid w:val="00BF6D7A"/>
    <w:rsid w:val="00C250A7"/>
    <w:rsid w:val="00C47631"/>
    <w:rsid w:val="00C855B6"/>
    <w:rsid w:val="00CC22C8"/>
    <w:rsid w:val="00CE2B4B"/>
    <w:rsid w:val="00F9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Corin Tubridy</cp:lastModifiedBy>
  <cp:revision>5</cp:revision>
  <dcterms:created xsi:type="dcterms:W3CDTF">2015-08-05T14:21:00Z</dcterms:created>
  <dcterms:modified xsi:type="dcterms:W3CDTF">2015-08-05T21:01:00Z</dcterms:modified>
</cp:coreProperties>
</file>