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975D" w14:textId="77777777" w:rsidR="001817EE" w:rsidRDefault="001817EE"/>
    <w:p w14:paraId="3D67A021" w14:textId="77777777" w:rsidR="001817EE" w:rsidRDefault="001817EE">
      <w:r>
        <w:t xml:space="preserve">August </w:t>
      </w:r>
      <w:r w:rsidR="0002051B">
        <w:t>14</w:t>
      </w:r>
      <w:r>
        <w:t>, 2017</w:t>
      </w:r>
    </w:p>
    <w:p w14:paraId="4B76E78E" w14:textId="77777777" w:rsidR="00E03745" w:rsidRDefault="00E03745"/>
    <w:p w14:paraId="2B9E1D10" w14:textId="77777777" w:rsidR="001817EE" w:rsidRDefault="001817EE">
      <w:r>
        <w:t xml:space="preserve">To: HUD </w:t>
      </w:r>
      <w:proofErr w:type="spellStart"/>
      <w:r>
        <w:t>CoC</w:t>
      </w:r>
      <w:proofErr w:type="spellEnd"/>
      <w:r>
        <w:t xml:space="preserve"> grantees and subrecipients</w:t>
      </w:r>
    </w:p>
    <w:p w14:paraId="6BCDA68F" w14:textId="77777777" w:rsidR="001817EE" w:rsidRDefault="001817EE">
      <w:r>
        <w:t xml:space="preserve">From: Meredith McCoy, WI BOS </w:t>
      </w:r>
    </w:p>
    <w:p w14:paraId="4B7B9B2F" w14:textId="77777777" w:rsidR="001817EE" w:rsidRDefault="001817EE">
      <w:r>
        <w:t>RE: Lead-Based Paint HUD requirements</w:t>
      </w:r>
    </w:p>
    <w:p w14:paraId="5FFD2ED1" w14:textId="77777777" w:rsidR="001817EE" w:rsidRDefault="001817EE" w:rsidP="001817EE">
      <w:r>
        <w:t>We’ve recently been made aware of additional requirements for lead-based paint compliance from HUD.  The following is a list of requirements that we want to make sure all COC funded projects are adhering to.   As this is a HUD requirement, I will be adding this to the monitoring review process.</w:t>
      </w:r>
    </w:p>
    <w:p w14:paraId="0EF9F27A" w14:textId="77777777" w:rsidR="001817EE" w:rsidRDefault="001817EE" w:rsidP="001817EE">
      <w:pPr>
        <w:pStyle w:val="ListParagraph"/>
        <w:numPr>
          <w:ilvl w:val="0"/>
          <w:numId w:val="1"/>
        </w:numPr>
      </w:pPr>
      <w:r>
        <w:t>Visual assessments for deteriorated paint and/or risk assessments in all units covered by the Lead Safe Housing Rule.  This visual assessment</w:t>
      </w:r>
      <w:r w:rsidR="00B12DB6">
        <w:t xml:space="preserve"> may have been a part of HQS training. If not, there is a resource for training on conducting the visual assessment in the guide that has been created. </w:t>
      </w:r>
      <w:r>
        <w:t>[24 CFR 35.1215(a)]</w:t>
      </w:r>
    </w:p>
    <w:p w14:paraId="25D7F10A" w14:textId="77777777" w:rsidR="001817EE" w:rsidRDefault="001817EE" w:rsidP="001817EE">
      <w:pPr>
        <w:pStyle w:val="ListParagraph"/>
        <w:numPr>
          <w:ilvl w:val="0"/>
          <w:numId w:val="1"/>
        </w:numPr>
      </w:pPr>
      <w:r>
        <w:t>Projects should be evaluated for applicability of the Lead Safe Housing Rule and the exemption to this rule. [24CFR 35.115 and 35.1200(b)]  Participant files need to have a form listing the exemptions and if the unit qualifies for the exemptions.  All cur</w:t>
      </w:r>
      <w:r w:rsidR="00EA3C42">
        <w:t>rent units should contain this document</w:t>
      </w:r>
      <w:r>
        <w:t xml:space="preserve"> an</w:t>
      </w:r>
      <w:r w:rsidR="00EA3C42">
        <w:t>d going forward, please use the form created by WI BOS</w:t>
      </w:r>
      <w:r>
        <w:t xml:space="preserve"> for all units being assisted with COC funds. </w:t>
      </w:r>
    </w:p>
    <w:p w14:paraId="6846C161" w14:textId="77777777" w:rsidR="001817EE" w:rsidRDefault="001817EE" w:rsidP="001817EE">
      <w:pPr>
        <w:pStyle w:val="ListParagraph"/>
        <w:numPr>
          <w:ilvl w:val="0"/>
          <w:numId w:val="1"/>
        </w:numPr>
      </w:pPr>
      <w:r>
        <w:t>Participants are receiving Lead Hazard Information before entering a rental unit. Participant files need to contain a signature and date from the participant acknowledging they’ve received and understand this information. [24 CFR 35.1210(b)]</w:t>
      </w:r>
    </w:p>
    <w:p w14:paraId="7D75A1A4" w14:textId="5A939290" w:rsidR="001817EE" w:rsidRDefault="001817EE" w:rsidP="001817EE">
      <w:pPr>
        <w:pStyle w:val="ListParagraph"/>
        <w:numPr>
          <w:ilvl w:val="0"/>
          <w:numId w:val="1"/>
        </w:numPr>
      </w:pPr>
      <w:r>
        <w:t xml:space="preserve">Agencies should be working with the local health department(s) in working together to assist children under the age of 6 with an identified environmental intervention blood lead level. [24 CFR 35.1225] This includes created a formalized process to obtain addresses of identified children from the public health department on a quarterly basis. Grantees will also need to report back the health department on a quarterly basis with addresses of those receiving COC funding.  </w:t>
      </w:r>
    </w:p>
    <w:p w14:paraId="24C71700" w14:textId="186CC4A8" w:rsidR="001817EE" w:rsidRDefault="001817EE" w:rsidP="001817EE">
      <w:pPr>
        <w:pStyle w:val="ListParagraph"/>
      </w:pPr>
      <w:r>
        <w:t>If addresses are obtained between both parties, information must be matched and if a match occurs grantees will carry out all of the requirements of 24 CFR 35.1225.</w:t>
      </w:r>
    </w:p>
    <w:p w14:paraId="04CA2FBF" w14:textId="77777777" w:rsidR="001817EE" w:rsidRDefault="001817EE" w:rsidP="001817EE">
      <w:pPr>
        <w:pStyle w:val="ListParagraph"/>
      </w:pPr>
      <w:r>
        <w:t>This procedure must be included in the agency’s COC program policies and procedures manual.</w:t>
      </w:r>
    </w:p>
    <w:p w14:paraId="5B967692" w14:textId="1264F846" w:rsidR="001817EE" w:rsidRDefault="001817EE" w:rsidP="001817EE">
      <w:pPr>
        <w:pStyle w:val="ListParagraph"/>
        <w:numPr>
          <w:ilvl w:val="0"/>
          <w:numId w:val="1"/>
        </w:numPr>
      </w:pPr>
      <w:r>
        <w:t xml:space="preserve">To ensure </w:t>
      </w:r>
      <w:r w:rsidR="0067785E">
        <w:t>lead-based</w:t>
      </w:r>
      <w:r>
        <w:t xml:space="preserve"> </w:t>
      </w:r>
      <w:bookmarkStart w:id="0" w:name="_GoBack"/>
      <w:bookmarkEnd w:id="0"/>
      <w:r>
        <w:t>paint requirements are incorporated, written policies and procedures must be updated.</w:t>
      </w:r>
    </w:p>
    <w:p w14:paraId="364FA41E" w14:textId="77777777" w:rsidR="00387FE7" w:rsidRDefault="00387FE7" w:rsidP="001817EE"/>
    <w:p w14:paraId="2857EE03" w14:textId="77777777" w:rsidR="001817EE" w:rsidRDefault="001817EE" w:rsidP="001817EE">
      <w:r>
        <w:t>If you have any questions regarding lead-based paint compliance, please feel free to contact me and I will assist in any way that I can.</w:t>
      </w:r>
    </w:p>
    <w:p w14:paraId="5052BE22" w14:textId="77777777" w:rsidR="001817EE" w:rsidRDefault="00036F66" w:rsidP="001817EE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ABF67C0" wp14:editId="4BFC2197">
                <wp:simplePos x="0" y="0"/>
                <wp:positionH relativeFrom="column">
                  <wp:posOffset>-208860</wp:posOffset>
                </wp:positionH>
                <wp:positionV relativeFrom="paragraph">
                  <wp:posOffset>154675</wp:posOffset>
                </wp:positionV>
                <wp:extent cx="552600" cy="303840"/>
                <wp:effectExtent l="38100" t="57150" r="57150" b="584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5260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95F4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17.25pt;margin-top:11.4pt;width:45.15pt;height:2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">
                <v:imagedata r:id="rId8" o:title=""/>
              </v:shape>
            </w:pict>
          </mc:Fallback>
        </mc:AlternateContent>
      </w:r>
      <w:r w:rsidR="001817EE">
        <w:t>Thank you,</w:t>
      </w:r>
    </w:p>
    <w:p w14:paraId="1154FE6A" w14:textId="77777777" w:rsidR="001772CA" w:rsidRDefault="00036F66" w:rsidP="001817EE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2A18CD4" wp14:editId="2AA454DE">
                <wp:simplePos x="0" y="0"/>
                <wp:positionH relativeFrom="column">
                  <wp:posOffset>1054380</wp:posOffset>
                </wp:positionH>
                <wp:positionV relativeFrom="paragraph">
                  <wp:posOffset>-157355</wp:posOffset>
                </wp:positionV>
                <wp:extent cx="539280" cy="485640"/>
                <wp:effectExtent l="57150" t="38100" r="51435" b="482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39280" cy="48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0D29A" id="Ink 10" o:spid="_x0000_s1026" type="#_x0000_t75" style="position:absolute;margin-left:82.2pt;margin-top:-13.2pt;width:44.1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D5896CC" wp14:editId="4A9DFB42">
                <wp:simplePos x="0" y="0"/>
                <wp:positionH relativeFrom="column">
                  <wp:posOffset>290820</wp:posOffset>
                </wp:positionH>
                <wp:positionV relativeFrom="paragraph">
                  <wp:posOffset>-131075</wp:posOffset>
                </wp:positionV>
                <wp:extent cx="693360" cy="277200"/>
                <wp:effectExtent l="57150" t="57150" r="31115" b="469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93360" cy="27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E9B10" id="Ink 9" o:spid="_x0000_s1026" type="#_x0000_t75" style="position:absolute;margin-left:22.1pt;margin-top:-11.1pt;width:56.3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">
                <v:imagedata r:id="rId12" o:title=""/>
              </v:shape>
            </w:pict>
          </mc:Fallback>
        </mc:AlternateContent>
      </w:r>
    </w:p>
    <w:p w14:paraId="04B0D6BE" w14:textId="77777777" w:rsidR="001817EE" w:rsidRDefault="001817EE" w:rsidP="001817EE">
      <w:pPr>
        <w:spacing w:after="0" w:line="240" w:lineRule="auto"/>
      </w:pPr>
      <w:r>
        <w:t>Meredith McCoy</w:t>
      </w:r>
    </w:p>
    <w:p w14:paraId="0F2AED46" w14:textId="77777777" w:rsidR="001817EE" w:rsidRDefault="001817EE" w:rsidP="001817EE">
      <w:pPr>
        <w:spacing w:after="0" w:line="240" w:lineRule="auto"/>
      </w:pPr>
      <w:r>
        <w:t>Monitoring and Compliance Coordinator</w:t>
      </w:r>
    </w:p>
    <w:p w14:paraId="7CDD5D62" w14:textId="77777777" w:rsidR="001817EE" w:rsidRDefault="001817EE" w:rsidP="001817EE">
      <w:pPr>
        <w:spacing w:after="0" w:line="240" w:lineRule="auto"/>
      </w:pPr>
      <w:r>
        <w:t xml:space="preserve">Wisconsin Balance of State </w:t>
      </w:r>
      <w:proofErr w:type="spellStart"/>
      <w:r>
        <w:t>CoC</w:t>
      </w:r>
      <w:proofErr w:type="spellEnd"/>
    </w:p>
    <w:p w14:paraId="53547954" w14:textId="77777777" w:rsidR="001817EE" w:rsidRDefault="001817EE"/>
    <w:sectPr w:rsidR="001817EE" w:rsidSect="001817EE">
      <w:headerReference w:type="default" r:id="rId13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5A23" w14:textId="77777777" w:rsidR="001A74C7" w:rsidRDefault="001A74C7" w:rsidP="001817EE">
      <w:pPr>
        <w:spacing w:after="0" w:line="240" w:lineRule="auto"/>
      </w:pPr>
      <w:r>
        <w:separator/>
      </w:r>
    </w:p>
  </w:endnote>
  <w:endnote w:type="continuationSeparator" w:id="0">
    <w:p w14:paraId="7884F346" w14:textId="77777777" w:rsidR="001A74C7" w:rsidRDefault="001A74C7" w:rsidP="0018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224A" w14:textId="77777777" w:rsidR="001A74C7" w:rsidRDefault="001A74C7" w:rsidP="001817EE">
      <w:pPr>
        <w:spacing w:after="0" w:line="240" w:lineRule="auto"/>
      </w:pPr>
      <w:r>
        <w:separator/>
      </w:r>
    </w:p>
  </w:footnote>
  <w:footnote w:type="continuationSeparator" w:id="0">
    <w:p w14:paraId="13DF808A" w14:textId="77777777" w:rsidR="001A74C7" w:rsidRDefault="001A74C7" w:rsidP="0018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61DC" w14:textId="77777777" w:rsidR="001772CA" w:rsidRDefault="001772CA" w:rsidP="001817EE">
    <w:pPr>
      <w:pStyle w:val="Header"/>
      <w:jc w:val="center"/>
    </w:pPr>
    <w:r>
      <w:rPr>
        <w:noProof/>
      </w:rPr>
      <w:drawing>
        <wp:inline distT="0" distB="0" distL="0" distR="0" wp14:anchorId="5370A6C4" wp14:editId="23BA9FB2">
          <wp:extent cx="1257300" cy="92645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042" cy="932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970"/>
    <w:multiLevelType w:val="hybridMultilevel"/>
    <w:tmpl w:val="7BC8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EE"/>
    <w:rsid w:val="0002051B"/>
    <w:rsid w:val="00036F66"/>
    <w:rsid w:val="001772CA"/>
    <w:rsid w:val="001817EE"/>
    <w:rsid w:val="001A74C7"/>
    <w:rsid w:val="001D163D"/>
    <w:rsid w:val="001E4CC1"/>
    <w:rsid w:val="00347F4A"/>
    <w:rsid w:val="00387FE7"/>
    <w:rsid w:val="00406F8D"/>
    <w:rsid w:val="00525867"/>
    <w:rsid w:val="00656A3A"/>
    <w:rsid w:val="0067785E"/>
    <w:rsid w:val="007466CB"/>
    <w:rsid w:val="00835F4B"/>
    <w:rsid w:val="00B12DB6"/>
    <w:rsid w:val="00C83883"/>
    <w:rsid w:val="00DA5BF9"/>
    <w:rsid w:val="00E03745"/>
    <w:rsid w:val="00E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C98A"/>
  <w15:chartTrackingRefBased/>
  <w15:docId w15:val="{F431EBA3-C72F-4ADA-81D3-F09002AF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EE"/>
  </w:style>
  <w:style w:type="paragraph" w:styleId="Footer">
    <w:name w:val="footer"/>
    <w:basedOn w:val="Normal"/>
    <w:link w:val="FooterChar"/>
    <w:uiPriority w:val="99"/>
    <w:unhideWhenUsed/>
    <w:rsid w:val="0018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EE"/>
  </w:style>
  <w:style w:type="paragraph" w:styleId="ListParagraph">
    <w:name w:val="List Paragraph"/>
    <w:basedOn w:val="Normal"/>
    <w:uiPriority w:val="34"/>
    <w:qFormat/>
    <w:rsid w:val="001817EE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96.27907" units="1/cm"/>
          <inkml:channelProperty channel="Y" name="resolution" value="96.49484" units="1/cm"/>
          <inkml:channelProperty channel="T" name="resolution" value="1" units="1/dev"/>
        </inkml:channelProperties>
      </inkml:inkSource>
      <inkml:timestamp xml:id="ts0" timeString="2017-08-15T17:53:53.66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0,'0'0'0,"0"0"16,0 0-16,0 0 16,0 0-16,0 49 15,0-49 1,25 49-16,-25-49 0,24 61 15,1-25 1,-1 1-16,-24-37 16,49 49-16,-49-49 15,49 24 1,-12-11-16,0-13 16,0 0-1,-37 0 1,49-13-16,-49 13 15,61-24-15,-24 12 16,-37 12 0,49-25-16,-49 25 15,49-24-15,-49 24 16,0 0-16,37 0 16,-37 0-16,0 0 15,0 0 1,37 61-16,-25 0 15,-12 0-15,0 0 16,-12-12 0,12 0-16,0-13 0,0-36 15,0 49 1,0-49-16,-12 49 16,12-49-16,0 0 15,0 37 1,0-37-16,0 0 31,0 0-31,0 0 16,0 0-16,0 0 15,0 0-15,0 0 16,24-37 0,1 0-16,-1 1 15,1-13-15,12 12 16,-13 1-16,13-1 15,0 0 1,-37 37-16,49-36 0,-49 36 16,37-25-1,-37 25-15,0 0 16,36 0-16,-36 0 31,0 0-31,25 49 16,-13-12-1,1 0-15,-1-1 16,-12 1-16,0-37 16,0 49-1,0-49-15,0 36 16,0-36-16,0 0 16,0 0-16,0 0 15,0 0-15,0 0 16,0 0-16,37-36 15,-37 36 1,24-61-16,1 12 16,12-12-16,-1 0 15,1 12-15,0 12 16,0 13 0,0-1-16,-37 25 15,49-36-15,-49 36 16,36-13-1,-36 13 1,0 0-16,37 13 16,-37-13-16,0 0 15,37 48 1,-37-48-16,0 62 16,0-26-1,0 13-15,0-12 16,0 24-16,0 0 15,0 0-15,0 12 16,0-12-16,12-12 16,13-12-16,-25-37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96.27907" units="1/cm"/>
          <inkml:channelProperty channel="Y" name="resolution" value="96.49484" units="1/cm"/>
          <inkml:channelProperty channel="T" name="resolution" value="1" units="1/dev"/>
        </inkml:channelProperties>
      </inkml:inkSource>
      <inkml:timestamp xml:id="ts0" timeString="2017-08-15T17:53:57.51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0 647 0,'0'0'16,"0"0"-16,0 0 31,0 0-31,0 0 15,0 0-15,0 0 16,0 0 0,0 0-16,0 0 15,0 0-15,0 0 16,0 0 0,25-37-16,-25 37 0,0 0 15,0-37 1,0 37-16,0 0 15,0 0-15,0 0 16,0 0 0,0 37-16,0-37 15,0 49 1,0-49 0,0 49-16,0-49 15,0 0-15,37 24 16,-37-24-1,49 0-15,-49 0 16,37-12-16,-37 12 16,73-86-16,-36 25 15,0 0 1,0-24-16,0-1 16,-1 25-16,-11 13 15,-1 11-15,-24 37 16,50-49-1,-50 49-15,49-24 0,-49 24 16,49-12 0,-49 12-16,49 12 15,-49-12-15,61 36 16,-61-36 0,49 49-16,-49-49 31,37 49-31,-37-49 15,0 0-15,37 37 16,-37-37-16,0 0 16,0 0-1,0 0-15,0 0 16,0 0-16,0 0 16,0 0-16,0 0 15,0 0-15,0 0 16,-49 12-1,49-12-15,-74 12 16,13 12-16,-1 13 16,13 0-1,0 11 1,0 1-16,12 0 16,1 0-1,11-12-15,25-37 16,-25 48-16,25-48 15,0 0 1,0 37-16,0-37 16,0 0-16,0 0 0,37 0 15,-37 0 1,0 0-16,37 0 16,-37 0-1,0 0-15,37 12 16,-37-12-16,0 0 15,37 37-15,-37-37 16,24 36-16,1 1 16,12 0-1,-1 11-15,1 1 16,-12 0-16,-1-12 16,1-1-1,-13 1 1,0-1-16,1 1 15,-13 0 1,0-37-16,-13 48 16,13-48-16,0 0 15,-36 37 1,36-37-16,-62 12 16,25-24-16,1 0 0,36 12 15,-49-25 1,49 25-16,0 0 15,-25-48 1,37 11-16,1 0 16,11-11-16,25-26 31,13 1-31,36-24 16,-12-1-16,-25 25 15,25 0 1,12-25-16,-12 0 15,0 1-15,24-13 16,-24-12 0,-25 0-16,-61 122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96.27907" units="1/cm"/>
          <inkml:channelProperty channel="Y" name="resolution" value="96.49484" units="1/cm"/>
          <inkml:channelProperty channel="T" name="resolution" value="1" units="1/dev"/>
        </inkml:channelProperties>
      </inkml:inkSource>
      <inkml:timestamp xml:id="ts0" timeString="2017-08-15T17:53:55.73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366 122 0,'0'0'16,"0"0"0,0 0-16,0 0 15,0 37-15,0-37 16,0 0-16,0 36 16,0-36-16,0 0 15,37 37 1,-37-37-16,61 24 15,-12-12-15,0-12 16,-12 0 0,0 0-16,-37 0 15,49-24-15,-49 24 16,37-37-16,-37 37 16,0 0-16,24-36 15,-24 36 1,0 0-16,0 0 15,0 0-15,0 0 32,0 36-32,-12 1 15,0 0-15,0 11 16,-1-11 0,-11 0-16,-1 11 15,-12 1-15,1 0 16,36-49-1,-49 49-15,12-25 0,-12-12 16,-25 0 0,1 1-16,11-13 15,1 0-15,12-13 16,12 1 0,1 0-16,36 12 31,-37-24-31,37 24 15,0 0-15,0 0 16,0 0-16,0 0 16,0 0-1,0 0-15,0 0 16,0 0-16,49 24 16,-12 0-16,-37-24 15,61 37 1,0-25-16,25 0 0,0-12 15,-25-12 1,0 0-16,1-25 16,-13-11-16,0-1 31,-12 0-31,-1 0 16,1 1-16,-12 11 15,-1 0 1,-24 37-16,37-48 15,-37 48 1,0 0-16,0 0 16,0 0-16,0 0 15,37-13-15,-37 13 16,24 74-16,-24-26 16,0 1-1,0 0-15,0-13 16,0 1-16,0-37 15,0 49-15,0-49 16,0 0-16,0 36 16,0-36-1,0 0-15,0 0 16,12-36-16,13-25 16,24-12-1,-12 0 1,0 12-16,-1 12 15,1 12 1,-12 1-16,-25 36 16,36-37-16,-36 37 15,0 0 1,37-12-16,-37 12 16,0 0-16,37 49 15,-25-13-15,0 13 16,1 0-16,-1-13 15,0 1 1,-12-1-16,0-36 16,0 49-16,0-49 15,0 0 1,0 37 0,0-37-16,0 0 15,0 0-15,0 0 16,37-61-1,0 0-15,0 0 16,-1 0-16,1 12 16,12 0-16,0 1 15,12-1-15,-11 12 16,-1 1 0,-13 11-16,-36 25 15,37-12-15,-37 12 16,0 0-1,37 49-15,-25-13 0,-12 13 16,0 12 0,0 12-16,0 1 15,-12-1-15,0 0 16,-1 0 0,1 0-16,0 0 31,12-12-31,0-61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Meredith McCoy</cp:lastModifiedBy>
  <cp:revision>15</cp:revision>
  <cp:lastPrinted>2017-08-15T17:55:00Z</cp:lastPrinted>
  <dcterms:created xsi:type="dcterms:W3CDTF">2017-08-09T16:38:00Z</dcterms:created>
  <dcterms:modified xsi:type="dcterms:W3CDTF">2019-08-15T14:54:00Z</dcterms:modified>
</cp:coreProperties>
</file>